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AB5CAC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0E498D">
        <w:rPr>
          <w:rFonts w:eastAsia="Times New Roman"/>
          <w:bCs/>
          <w:sz w:val="24"/>
          <w:szCs w:val="24"/>
          <w:lang w:eastAsia="ja-JP"/>
        </w:rPr>
        <w:t>2</w:t>
      </w:r>
      <w:r w:rsidR="004C46E6">
        <w:rPr>
          <w:rFonts w:eastAsia="Times New Roman"/>
          <w:bCs/>
          <w:sz w:val="24"/>
          <w:szCs w:val="24"/>
          <w:lang w:eastAsia="ja-JP"/>
        </w:rPr>
        <w:t>2</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4C46E6">
        <w:rPr>
          <w:rFonts w:eastAsia="Times New Roman"/>
          <w:bCs/>
          <w:sz w:val="24"/>
          <w:szCs w:val="24"/>
          <w:lang w:eastAsia="ja-JP"/>
        </w:rPr>
        <w:t xml:space="preserve">      </w:t>
      </w:r>
      <w:r w:rsidR="009C2A56" w:rsidRPr="009C2A56">
        <w:rPr>
          <w:rFonts w:eastAsia="Times New Roman"/>
          <w:bCs/>
          <w:sz w:val="24"/>
          <w:szCs w:val="24"/>
          <w:lang w:eastAsia="ja-JP"/>
        </w:rPr>
        <w:t>R2-2306297</w:t>
      </w:r>
    </w:p>
    <w:p w14:paraId="4CB31B84" w14:textId="7F087E94" w:rsidR="00E51E9F" w:rsidRPr="00BE6B12" w:rsidRDefault="00B34A36" w:rsidP="00D7765D">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Incheon, Korea, 22</w:t>
      </w:r>
      <w:r>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 26</w:t>
      </w:r>
      <w:r>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May, 2023                  </w:t>
      </w:r>
      <w:bookmarkEnd w:id="1"/>
      <w:r>
        <w:rPr>
          <w:rFonts w:ascii="Arial" w:eastAsia="Times New Roman" w:hAnsi="Arial"/>
          <w:bCs/>
          <w:noProof/>
          <w:szCs w:val="24"/>
          <w:lang w:eastAsia="ja-JP"/>
        </w:rPr>
        <w:t xml:space="preserve">                                   </w:t>
      </w:r>
      <w:r w:rsidR="001F5682">
        <w:rPr>
          <w:rFonts w:ascii="Arial" w:eastAsia="Times New Roman" w:hAnsi="Arial"/>
          <w:bCs/>
          <w:noProof/>
          <w:szCs w:val="24"/>
          <w:lang w:eastAsia="ja-JP"/>
        </w:rPr>
        <w:t xml:space="preserve">Revision of </w:t>
      </w:r>
      <w:r w:rsidR="00690D29" w:rsidRPr="00690D29">
        <w:rPr>
          <w:rFonts w:ascii="Arial" w:eastAsia="Times New Roman" w:hAnsi="Arial"/>
          <w:bCs/>
          <w:noProof/>
          <w:szCs w:val="24"/>
          <w:lang w:eastAsia="ja-JP"/>
        </w:rPr>
        <w:t>R2-2303607</w:t>
      </w:r>
      <w:r w:rsidR="00BE6B12">
        <w:rPr>
          <w:rFonts w:ascii="Arial" w:eastAsia="Times New Roman" w:hAnsi="Arial"/>
          <w:bCs/>
          <w:noProof/>
          <w:szCs w:val="24"/>
          <w:lang w:eastAsia="ja-JP"/>
        </w:rPr>
        <w:t xml:space="preserve">      </w:t>
      </w:r>
    </w:p>
    <w:p w14:paraId="632AC43C" w14:textId="77777777" w:rsidR="00FA2EE3" w:rsidRPr="003158DE" w:rsidRDefault="00FA2EE3" w:rsidP="00D7765D">
      <w:pPr>
        <w:pStyle w:val="3GPPHeader"/>
        <w:spacing w:after="0"/>
        <w:rPr>
          <w:rFonts w:ascii="Arial" w:hAnsi="Arial" w:cs="Arial"/>
          <w:szCs w:val="24"/>
        </w:rPr>
      </w:pPr>
    </w:p>
    <w:p w14:paraId="782CEDA7" w14:textId="6F8264D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002DD7">
        <w:rPr>
          <w:rFonts w:ascii="Arial" w:hAnsi="Arial" w:cs="Arial"/>
          <w:szCs w:val="24"/>
          <w:lang w:val="sv-SE"/>
        </w:rPr>
        <w:t>7</w:t>
      </w:r>
      <w:r w:rsidR="00E6161C">
        <w:rPr>
          <w:rFonts w:ascii="Arial" w:hAnsi="Arial" w:cs="Arial"/>
          <w:szCs w:val="24"/>
          <w:lang w:val="sv-SE"/>
        </w:rPr>
        <w:t>.4.4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22F20B"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1D3C85">
        <w:rPr>
          <w:b/>
          <w:sz w:val="24"/>
        </w:rPr>
        <w:t xml:space="preserve">Discussion </w:t>
      </w:r>
      <w:r w:rsidR="000E498D">
        <w:rPr>
          <w:b/>
          <w:sz w:val="24"/>
        </w:rPr>
        <w:t>on CHO with candidate SCG</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AE495B3" w14:textId="0E11CF5B" w:rsidR="00F30FD5" w:rsidRDefault="001D3C85" w:rsidP="008135C8">
      <w:pPr>
        <w:pStyle w:val="Doc-text2"/>
        <w:tabs>
          <w:tab w:val="left" w:pos="340"/>
        </w:tabs>
        <w:ind w:left="0" w:firstLine="0"/>
        <w:jc w:val="both"/>
      </w:pPr>
      <w:r>
        <w:t>In this contribution, we discuss below objective #4 from mobility enhancement work item [1].</w:t>
      </w:r>
    </w:p>
    <w:p w14:paraId="5C4CA029" w14:textId="713A6991" w:rsidR="00F30FD5" w:rsidRDefault="00F30FD5" w:rsidP="008135C8">
      <w:pPr>
        <w:pStyle w:val="Doc-text2"/>
        <w:tabs>
          <w:tab w:val="left" w:pos="340"/>
        </w:tabs>
        <w:ind w:left="0" w:firstLine="0"/>
        <w:jc w:val="both"/>
      </w:pPr>
    </w:p>
    <w:p w14:paraId="77545FE6" w14:textId="77777777" w:rsidR="00F30FD5" w:rsidRPr="00185046" w:rsidRDefault="00F30FD5" w:rsidP="00F30FD5">
      <w:pPr>
        <w:numPr>
          <w:ilvl w:val="0"/>
          <w:numId w:val="6"/>
        </w:numPr>
        <w:overflowPunct w:val="0"/>
        <w:autoSpaceDE w:val="0"/>
        <w:autoSpaceDN w:val="0"/>
        <w:adjustRightInd w:val="0"/>
        <w:spacing w:after="0"/>
        <w:jc w:val="both"/>
        <w:textAlignment w:val="baseline"/>
        <w:rPr>
          <w:bCs/>
          <w:lang w:val="en-US"/>
        </w:rPr>
      </w:pPr>
      <w:r>
        <w:rPr>
          <w:bCs/>
          <w:lang w:val="en-US"/>
        </w:rPr>
        <w:t xml:space="preserve">To specify CHO including target MCG and </w:t>
      </w:r>
      <w:r w:rsidRPr="00DC0B00">
        <w:rPr>
          <w:bCs/>
          <w:highlight w:val="cyan"/>
          <w:lang w:val="en-US"/>
        </w:rPr>
        <w:t>candidate</w:t>
      </w:r>
      <w:r>
        <w:rPr>
          <w:bCs/>
          <w:lang w:val="en-US"/>
        </w:rPr>
        <w:t xml:space="preserve"> SCGs for CPC/CPA in NR-DC [RAN3, RAN2]</w:t>
      </w:r>
    </w:p>
    <w:p w14:paraId="7AEFFAAE" w14:textId="77777777" w:rsidR="00F30FD5" w:rsidRDefault="00F30FD5" w:rsidP="00F30FD5">
      <w:pPr>
        <w:numPr>
          <w:ilvl w:val="0"/>
          <w:numId w:val="7"/>
        </w:numPr>
        <w:overflowPunct w:val="0"/>
        <w:autoSpaceDE w:val="0"/>
        <w:autoSpaceDN w:val="0"/>
        <w:adjustRightInd w:val="0"/>
        <w:spacing w:after="0"/>
        <w:jc w:val="both"/>
        <w:textAlignment w:val="baseline"/>
        <w:rPr>
          <w:bCs/>
          <w:lang w:val="en-US"/>
        </w:rPr>
      </w:pPr>
      <w:r>
        <w:rPr>
          <w:bCs/>
          <w:lang w:val="en-US"/>
        </w:rPr>
        <w:t xml:space="preserve">CHO including </w:t>
      </w:r>
      <w:r w:rsidRPr="00DC0B00">
        <w:rPr>
          <w:bCs/>
          <w:lang w:val="en-US"/>
        </w:rPr>
        <w:t>target</w:t>
      </w:r>
      <w:r>
        <w:rPr>
          <w:bCs/>
          <w:lang w:val="en-US"/>
        </w:rPr>
        <w:t xml:space="preserve"> MCG and </w:t>
      </w:r>
      <w:r w:rsidRPr="005B778F">
        <w:rPr>
          <w:bCs/>
          <w:highlight w:val="cyan"/>
          <w:lang w:val="en-US"/>
        </w:rPr>
        <w:t>target</w:t>
      </w:r>
      <w:r>
        <w:rPr>
          <w:bCs/>
          <w:lang w:val="en-US"/>
        </w:rPr>
        <w:t xml:space="preserve"> SCG is used as the baseline</w:t>
      </w:r>
    </w:p>
    <w:p w14:paraId="68F0C221" w14:textId="77CBDF75" w:rsidR="00F30FD5" w:rsidRDefault="00F30FD5" w:rsidP="008135C8">
      <w:pPr>
        <w:pStyle w:val="Doc-text2"/>
        <w:tabs>
          <w:tab w:val="left" w:pos="340"/>
        </w:tabs>
        <w:ind w:left="0" w:firstLine="0"/>
        <w:jc w:val="both"/>
      </w:pPr>
    </w:p>
    <w:p w14:paraId="63487C92" w14:textId="0C570117" w:rsidR="001F6508" w:rsidRDefault="001F6508" w:rsidP="008135C8">
      <w:pPr>
        <w:pStyle w:val="Doc-text2"/>
        <w:tabs>
          <w:tab w:val="left" w:pos="340"/>
        </w:tabs>
        <w:ind w:left="0" w:firstLine="0"/>
        <w:jc w:val="both"/>
      </w:pPr>
      <w:r>
        <w:t>R2 has made the following agreements related to objective #4</w:t>
      </w:r>
    </w:p>
    <w:p w14:paraId="6A625C4C" w14:textId="3540A718" w:rsidR="00C10545" w:rsidRDefault="00C10545" w:rsidP="008135C8">
      <w:pPr>
        <w:pStyle w:val="Doc-text2"/>
        <w:tabs>
          <w:tab w:val="left" w:pos="340"/>
        </w:tabs>
        <w:ind w:left="0" w:firstLine="0"/>
        <w:jc w:val="both"/>
      </w:pPr>
      <w:r>
        <w:t>In RAN2#11</w:t>
      </w:r>
      <w:r w:rsidR="001F6508">
        <w:t>9</w:t>
      </w:r>
      <w:r>
        <w:t xml:space="preserve"> </w:t>
      </w:r>
    </w:p>
    <w:p w14:paraId="43B2A3FD" w14:textId="77777777" w:rsidR="00755075" w:rsidRPr="00347BC6" w:rsidRDefault="00755075" w:rsidP="00755075">
      <w:pPr>
        <w:pStyle w:val="Agreement"/>
        <w:numPr>
          <w:ilvl w:val="0"/>
          <w:numId w:val="5"/>
        </w:numPr>
        <w:tabs>
          <w:tab w:val="clear" w:pos="2070"/>
          <w:tab w:val="num" w:pos="1619"/>
        </w:tabs>
        <w:ind w:left="1619"/>
      </w:pPr>
      <w:r w:rsidRPr="00347BC6">
        <w:t>Observation: Current RAN2 Stage-3 specifications can support CHO including target MCG and target SCG in Rel-17.</w:t>
      </w:r>
    </w:p>
    <w:p w14:paraId="429C3B9C" w14:textId="77777777" w:rsidR="00C10545" w:rsidRPr="00347BC6" w:rsidRDefault="00C10545" w:rsidP="00C10545">
      <w:pPr>
        <w:pStyle w:val="Agreement"/>
        <w:numPr>
          <w:ilvl w:val="0"/>
          <w:numId w:val="5"/>
        </w:numPr>
        <w:tabs>
          <w:tab w:val="clear" w:pos="2070"/>
          <w:tab w:val="num" w:pos="1619"/>
        </w:tabs>
        <w:ind w:left="1619"/>
      </w:pPr>
      <w:r w:rsidRPr="00347BC6">
        <w:t xml:space="preserve">CHO configuration </w:t>
      </w:r>
      <w:r w:rsidRPr="00161EE0">
        <w:rPr>
          <w:highlight w:val="yellow"/>
        </w:rPr>
        <w:t>referring to or including</w:t>
      </w:r>
      <w:r w:rsidRPr="00347BC6">
        <w:t xml:space="preserve"> CPC/CPA configuration (intended to be applicable together) can be supported.</w:t>
      </w:r>
    </w:p>
    <w:p w14:paraId="7EA7B9FE" w14:textId="77777777" w:rsidR="00C10545" w:rsidRPr="00347BC6" w:rsidRDefault="00C10545" w:rsidP="00C10545">
      <w:pPr>
        <w:pStyle w:val="Agreement"/>
        <w:numPr>
          <w:ilvl w:val="0"/>
          <w:numId w:val="5"/>
        </w:numPr>
        <w:tabs>
          <w:tab w:val="clear" w:pos="2070"/>
          <w:tab w:val="num" w:pos="1619"/>
        </w:tabs>
        <w:ind w:left="1619"/>
      </w:pPr>
      <w:r w:rsidRPr="0010160B">
        <w:t>FFS: W</w:t>
      </w:r>
      <w:r w:rsidRPr="00347BC6">
        <w:t xml:space="preserve">hen triggering CHO, UE perform CPC/CPA configuration to start CPC/CPA evaluation, </w:t>
      </w:r>
      <w:r w:rsidRPr="00923BDF">
        <w:t>FFS if CHO evaluation and CPC/CPA evaluation is concurrent or sequential.</w:t>
      </w:r>
    </w:p>
    <w:p w14:paraId="2D930CAD" w14:textId="77777777" w:rsidR="0005684A" w:rsidRPr="00347BC6" w:rsidRDefault="0005684A" w:rsidP="0005684A">
      <w:pPr>
        <w:pStyle w:val="Doc-text2"/>
        <w:rPr>
          <w:i/>
          <w:iCs/>
        </w:rPr>
      </w:pPr>
      <w:r w:rsidRPr="00347BC6">
        <w:rPr>
          <w:i/>
          <w:iCs/>
        </w:rPr>
        <w:t xml:space="preserve">Chair: NOTE that the above agreements are NOT intended to describe the Stage3 signalling details. </w:t>
      </w:r>
    </w:p>
    <w:p w14:paraId="5A61B5EC" w14:textId="0820AA7F" w:rsidR="00C10545" w:rsidRDefault="00C10545" w:rsidP="008135C8">
      <w:pPr>
        <w:pStyle w:val="Doc-text2"/>
        <w:tabs>
          <w:tab w:val="left" w:pos="340"/>
        </w:tabs>
        <w:ind w:left="0" w:firstLine="0"/>
        <w:jc w:val="both"/>
      </w:pPr>
    </w:p>
    <w:p w14:paraId="68397B10" w14:textId="7720DAF6" w:rsidR="002141FB" w:rsidRDefault="001F6508" w:rsidP="008135C8">
      <w:pPr>
        <w:pStyle w:val="Doc-text2"/>
        <w:tabs>
          <w:tab w:val="left" w:pos="340"/>
        </w:tabs>
        <w:ind w:left="0" w:firstLine="0"/>
        <w:jc w:val="both"/>
      </w:pPr>
      <w:r>
        <w:t>I</w:t>
      </w:r>
      <w:r w:rsidR="002141FB">
        <w:t>n RAN2#120</w:t>
      </w:r>
    </w:p>
    <w:p w14:paraId="3DEEA03C" w14:textId="77777777" w:rsidR="001F6508" w:rsidRDefault="001F6508" w:rsidP="001F6508">
      <w:pPr>
        <w:pStyle w:val="Agreement"/>
        <w:numPr>
          <w:ilvl w:val="0"/>
          <w:numId w:val="11"/>
        </w:numPr>
        <w:tabs>
          <w:tab w:val="clear" w:pos="2070"/>
          <w:tab w:val="num" w:pos="1619"/>
          <w:tab w:val="num" w:pos="9990"/>
        </w:tabs>
        <w:autoSpaceDN w:val="0"/>
        <w:ind w:left="1619"/>
        <w:rPr>
          <w:lang w:val="en-GB" w:eastAsia="ja-JP"/>
        </w:rPr>
      </w:pPr>
      <w:r>
        <w:t>Execution order: the UE doesn’t execute CPC/CPA unless CHO condition is fulfilled (regardless parallel or sequential evaluation)</w:t>
      </w:r>
    </w:p>
    <w:p w14:paraId="325D4E4D" w14:textId="77777777" w:rsidR="002141FB" w:rsidRDefault="002141FB" w:rsidP="008135C8">
      <w:pPr>
        <w:pStyle w:val="Doc-text2"/>
        <w:tabs>
          <w:tab w:val="left" w:pos="340"/>
        </w:tabs>
        <w:ind w:left="0" w:firstLine="0"/>
        <w:jc w:val="both"/>
      </w:pPr>
    </w:p>
    <w:p w14:paraId="407E05DC" w14:textId="4CE4E382" w:rsidR="002141FB" w:rsidRDefault="002374D4" w:rsidP="008135C8">
      <w:pPr>
        <w:pStyle w:val="Doc-text2"/>
        <w:tabs>
          <w:tab w:val="left" w:pos="340"/>
        </w:tabs>
        <w:ind w:left="0" w:firstLine="0"/>
        <w:jc w:val="both"/>
      </w:pPr>
      <w:r>
        <w:t>In RAN2#121</w:t>
      </w:r>
    </w:p>
    <w:p w14:paraId="7CDE8125" w14:textId="77777777" w:rsidR="000C543C" w:rsidRPr="00B77740" w:rsidRDefault="000C543C" w:rsidP="000C543C">
      <w:pPr>
        <w:pStyle w:val="Agreement"/>
        <w:numPr>
          <w:ilvl w:val="0"/>
          <w:numId w:val="5"/>
        </w:numPr>
        <w:tabs>
          <w:tab w:val="clear" w:pos="2070"/>
          <w:tab w:val="num" w:pos="1619"/>
        </w:tabs>
        <w:ind w:left="1619"/>
      </w:pPr>
      <w:r w:rsidRPr="00B77740">
        <w:t xml:space="preserve">RAN2 agrees to support the </w:t>
      </w:r>
      <w:bookmarkStart w:id="3" w:name="_Hlk130472535"/>
      <w:r w:rsidRPr="00B77740">
        <w:t xml:space="preserve">simultaneous evaluation of CHO and CPC </w:t>
      </w:r>
      <w:bookmarkEnd w:id="3"/>
      <w:r w:rsidRPr="00B77740">
        <w:t>in Rel-18</w:t>
      </w:r>
    </w:p>
    <w:p w14:paraId="12A2F2E3" w14:textId="77777777" w:rsidR="000C543C" w:rsidRPr="00B77740" w:rsidRDefault="000C543C" w:rsidP="000C543C">
      <w:pPr>
        <w:pStyle w:val="Agreement"/>
        <w:numPr>
          <w:ilvl w:val="0"/>
          <w:numId w:val="5"/>
        </w:numPr>
        <w:tabs>
          <w:tab w:val="clear" w:pos="2070"/>
          <w:tab w:val="num" w:pos="1619"/>
        </w:tabs>
        <w:ind w:left="1619"/>
      </w:pPr>
      <w:r w:rsidRPr="00B77740">
        <w:t xml:space="preserve">The UE </w:t>
      </w:r>
      <w:bookmarkStart w:id="4" w:name="_Hlk131496858"/>
      <w:r w:rsidRPr="00B77740">
        <w:t xml:space="preserve">should not need to unpack any of the nested </w:t>
      </w:r>
      <w:r w:rsidRPr="00710745">
        <w:rPr>
          <w:i/>
          <w:iCs/>
        </w:rPr>
        <w:t>conditionalconfiguration</w:t>
      </w:r>
      <w:r w:rsidRPr="00B77740">
        <w:t xml:space="preserve"> containers in order to measure</w:t>
      </w:r>
      <w:bookmarkEnd w:id="4"/>
      <w:r w:rsidRPr="00B77740">
        <w:t>, acc to agreement above</w:t>
      </w:r>
    </w:p>
    <w:p w14:paraId="3E80914D" w14:textId="454BCF66" w:rsidR="002374D4" w:rsidRDefault="002374D4" w:rsidP="008135C8">
      <w:pPr>
        <w:pStyle w:val="Doc-text2"/>
        <w:tabs>
          <w:tab w:val="left" w:pos="340"/>
        </w:tabs>
        <w:ind w:left="0" w:firstLine="0"/>
        <w:jc w:val="both"/>
      </w:pPr>
    </w:p>
    <w:p w14:paraId="2AD1C853" w14:textId="25239063" w:rsidR="00322489" w:rsidRDefault="00322489" w:rsidP="00322489">
      <w:pPr>
        <w:pStyle w:val="Doc-text2"/>
        <w:tabs>
          <w:tab w:val="left" w:pos="340"/>
        </w:tabs>
        <w:ind w:left="0" w:firstLine="0"/>
        <w:jc w:val="both"/>
      </w:pPr>
      <w:r>
        <w:t>In RAN2#121bis</w:t>
      </w:r>
    </w:p>
    <w:p w14:paraId="3B78DCC8" w14:textId="77777777" w:rsidR="006B1BBE" w:rsidRDefault="006B1BBE" w:rsidP="006B1BBE">
      <w:pPr>
        <w:pStyle w:val="Agreement"/>
        <w:tabs>
          <w:tab w:val="clear" w:pos="1619"/>
        </w:tabs>
      </w:pPr>
      <w:r>
        <w:t>For the CHO+CPC case:</w:t>
      </w:r>
    </w:p>
    <w:p w14:paraId="26BACA90" w14:textId="77777777" w:rsidR="006B1BBE" w:rsidRDefault="006B1BBE" w:rsidP="006B1BBE">
      <w:pPr>
        <w:pStyle w:val="Agreement"/>
        <w:numPr>
          <w:ilvl w:val="0"/>
          <w:numId w:val="5"/>
        </w:numPr>
        <w:tabs>
          <w:tab w:val="clear" w:pos="2070"/>
          <w:tab w:val="num" w:pos="1619"/>
        </w:tabs>
        <w:ind w:left="1619"/>
      </w:pPr>
      <w:r>
        <w:t>When both CHO and CPC conditions are met, both CHO and CPC cell change is executed.</w:t>
      </w:r>
    </w:p>
    <w:p w14:paraId="66F9AAFC" w14:textId="77777777" w:rsidR="006B1BBE" w:rsidRDefault="006B1BBE" w:rsidP="006B1BBE">
      <w:pPr>
        <w:pStyle w:val="Agreement"/>
        <w:numPr>
          <w:ilvl w:val="0"/>
          <w:numId w:val="5"/>
        </w:numPr>
        <w:tabs>
          <w:tab w:val="clear" w:pos="2070"/>
          <w:tab w:val="num" w:pos="1619"/>
        </w:tabs>
        <w:ind w:left="1619"/>
      </w:pPr>
      <w:r w:rsidRPr="00641AED">
        <w:rPr>
          <w:highlight w:val="yellow"/>
        </w:rPr>
        <w:t>Baseline:</w:t>
      </w:r>
      <w:r>
        <w:t xml:space="preserve"> The UE waits until both CHO and CPC conditions are met (always). (furthermore, it is assumed that if needed the network can provide a complementary CHO-only configuration, to avoid failures in deployments where failure would otherwise be likely to happen).  </w:t>
      </w:r>
    </w:p>
    <w:p w14:paraId="132179FD" w14:textId="77777777" w:rsidR="006B1BBE" w:rsidRDefault="006B1BBE" w:rsidP="006B1BBE">
      <w:pPr>
        <w:pStyle w:val="Agreement"/>
        <w:numPr>
          <w:ilvl w:val="0"/>
          <w:numId w:val="5"/>
        </w:numPr>
        <w:tabs>
          <w:tab w:val="clear" w:pos="2070"/>
          <w:tab w:val="num" w:pos="1619"/>
        </w:tabs>
        <w:ind w:left="1619"/>
      </w:pPr>
      <w:r w:rsidRPr="00641AED">
        <w:rPr>
          <w:highlight w:val="yellow"/>
        </w:rPr>
        <w:t>Alternative:</w:t>
      </w:r>
      <w:r>
        <w:t xml:space="preserve"> FFS if When CHO condition is met, but CPC condition is not met, CHO execution is triggered (and somehow source SCG can be released). IF allowed in the new configuration the UE may continue evaluation of CPC/CPA conditions.</w:t>
      </w:r>
    </w:p>
    <w:p w14:paraId="08605646" w14:textId="72DA6337" w:rsidR="00322489" w:rsidRDefault="00322489" w:rsidP="008135C8">
      <w:pPr>
        <w:pStyle w:val="Doc-text2"/>
        <w:tabs>
          <w:tab w:val="left" w:pos="340"/>
        </w:tabs>
        <w:ind w:left="0" w:firstLine="0"/>
        <w:jc w:val="both"/>
      </w:pPr>
    </w:p>
    <w:p w14:paraId="6F60187C" w14:textId="5CD21F2B" w:rsidR="0005684A" w:rsidRDefault="00F35A13" w:rsidP="008135C8">
      <w:pPr>
        <w:pStyle w:val="Doc-text2"/>
        <w:tabs>
          <w:tab w:val="left" w:pos="340"/>
        </w:tabs>
        <w:ind w:left="0" w:firstLine="0"/>
        <w:jc w:val="both"/>
      </w:pPr>
      <w:r>
        <w:t>W</w:t>
      </w:r>
      <w:r w:rsidR="00B34071">
        <w:t xml:space="preserve">e would like to </w:t>
      </w:r>
      <w:r w:rsidR="0005684A">
        <w:t xml:space="preserve">further discuss the </w:t>
      </w:r>
      <w:r w:rsidR="00B941A6">
        <w:t xml:space="preserve">supported </w:t>
      </w:r>
      <w:r w:rsidR="0005684A">
        <w:t>scenario for objective#4.</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21BA49B2" w14:textId="684F3464" w:rsidR="005B778F" w:rsidRDefault="005B778F" w:rsidP="00EF20EF">
      <w:pPr>
        <w:pStyle w:val="Doc-text2"/>
        <w:tabs>
          <w:tab w:val="left" w:pos="340"/>
        </w:tabs>
        <w:ind w:left="0" w:firstLine="0"/>
        <w:jc w:val="both"/>
        <w:rPr>
          <w:rFonts w:eastAsiaTheme="minorEastAsia" w:cs="Arial"/>
        </w:rPr>
      </w:pPr>
      <w:r w:rsidRPr="005B778F">
        <w:rPr>
          <w:rFonts w:eastAsiaTheme="minorEastAsia" w:cs="Arial"/>
        </w:rPr>
        <w:t xml:space="preserve">For CHO with candidate SCG, </w:t>
      </w:r>
      <w:r>
        <w:rPr>
          <w:rFonts w:eastAsiaTheme="minorEastAsia" w:cs="Arial"/>
        </w:rPr>
        <w:t xml:space="preserve">RAN2 agreed to support </w:t>
      </w:r>
      <w:r w:rsidRPr="005B778F">
        <w:rPr>
          <w:rFonts w:eastAsiaTheme="minorEastAsia" w:cs="Arial"/>
        </w:rPr>
        <w:t>simultaneous evaluation of CHO and CPC</w:t>
      </w:r>
      <w:r>
        <w:rPr>
          <w:rFonts w:eastAsiaTheme="minorEastAsia" w:cs="Arial"/>
        </w:rPr>
        <w:t xml:space="preserve"> </w:t>
      </w:r>
      <w:r w:rsidR="00502B37">
        <w:rPr>
          <w:rFonts w:eastAsiaTheme="minorEastAsia" w:cs="Arial"/>
        </w:rPr>
        <w:t xml:space="preserve">and agreed that </w:t>
      </w:r>
      <w:r w:rsidR="002B363A">
        <w:rPr>
          <w:rFonts w:eastAsiaTheme="minorEastAsia" w:cs="Arial"/>
        </w:rPr>
        <w:t>there is no need for the UE</w:t>
      </w:r>
      <w:r w:rsidR="00502B37" w:rsidRPr="00502B37">
        <w:rPr>
          <w:rFonts w:eastAsiaTheme="minorEastAsia" w:cs="Arial"/>
        </w:rPr>
        <w:t xml:space="preserve"> to unpack any of the nested </w:t>
      </w:r>
      <w:r w:rsidR="00502B37" w:rsidRPr="00502B37">
        <w:rPr>
          <w:rFonts w:eastAsiaTheme="minorEastAsia" w:cs="Arial"/>
          <w:i/>
          <w:iCs/>
        </w:rPr>
        <w:t>conditionalconfiguration</w:t>
      </w:r>
      <w:r w:rsidR="00502B37" w:rsidRPr="00502B37">
        <w:rPr>
          <w:rFonts w:eastAsiaTheme="minorEastAsia" w:cs="Arial"/>
        </w:rPr>
        <w:t xml:space="preserve"> containers in order to measure</w:t>
      </w:r>
      <w:r w:rsidR="00502B37">
        <w:rPr>
          <w:rFonts w:eastAsiaTheme="minorEastAsia" w:cs="Arial"/>
        </w:rPr>
        <w:t xml:space="preserve">. </w:t>
      </w:r>
      <w:r w:rsidR="00AE5E76">
        <w:rPr>
          <w:rFonts w:eastAsiaTheme="minorEastAsia" w:cs="Arial"/>
        </w:rPr>
        <w:t>We believe that it is time to discuss more RRC reconfiguration details for CHO with candidate SCG</w:t>
      </w:r>
      <w:r w:rsidR="00004632">
        <w:rPr>
          <w:rFonts w:eastAsiaTheme="minorEastAsia" w:cs="Arial"/>
        </w:rPr>
        <w:t>.</w:t>
      </w:r>
    </w:p>
    <w:p w14:paraId="4C609563" w14:textId="2DFBADC4" w:rsidR="005B778F" w:rsidRDefault="005B778F" w:rsidP="00EF20EF">
      <w:pPr>
        <w:pStyle w:val="Doc-text2"/>
        <w:tabs>
          <w:tab w:val="left" w:pos="340"/>
        </w:tabs>
        <w:ind w:left="0" w:firstLine="0"/>
        <w:jc w:val="both"/>
        <w:rPr>
          <w:rFonts w:eastAsiaTheme="minorEastAsia" w:cs="Arial"/>
        </w:rPr>
      </w:pPr>
    </w:p>
    <w:p w14:paraId="2B461291" w14:textId="6A619915" w:rsidR="00F754D1" w:rsidRDefault="00F754D1" w:rsidP="00EF20EF">
      <w:pPr>
        <w:pStyle w:val="Doc-text2"/>
        <w:tabs>
          <w:tab w:val="left" w:pos="340"/>
        </w:tabs>
        <w:ind w:left="0" w:firstLine="0"/>
        <w:jc w:val="both"/>
        <w:rPr>
          <w:rFonts w:eastAsiaTheme="minorEastAsia" w:cs="Arial"/>
        </w:rPr>
      </w:pPr>
      <w:r>
        <w:rPr>
          <w:rFonts w:eastAsiaTheme="minorEastAsia" w:cs="Arial"/>
        </w:rPr>
        <w:t xml:space="preserve">In legacy conditional reconfiguration procedure, the configuration is consisted of an execution condition (i.e. measurement IDs) and </w:t>
      </w:r>
      <w:r w:rsidR="00DA4B3B">
        <w:rPr>
          <w:rFonts w:eastAsiaTheme="minorEastAsia" w:cs="Arial"/>
        </w:rPr>
        <w:t xml:space="preserve">an </w:t>
      </w:r>
      <w:r>
        <w:rPr>
          <w:rFonts w:eastAsiaTheme="minorEastAsia" w:cs="Arial"/>
        </w:rPr>
        <w:t xml:space="preserve">execution command (i.e. </w:t>
      </w:r>
      <w:r w:rsidR="00DA4B3B">
        <w:rPr>
          <w:rFonts w:eastAsiaTheme="minorEastAsia" w:cs="Arial"/>
        </w:rPr>
        <w:t xml:space="preserve">a </w:t>
      </w:r>
      <w:r>
        <w:rPr>
          <w:rFonts w:eastAsiaTheme="minorEastAsia" w:cs="Arial"/>
        </w:rPr>
        <w:t xml:space="preserve">RRC Reconfiguration message inside </w:t>
      </w:r>
      <w:r w:rsidR="00DA4B3B">
        <w:rPr>
          <w:rFonts w:eastAsiaTheme="minorEastAsia" w:cs="Arial"/>
        </w:rPr>
        <w:t xml:space="preserve">a </w:t>
      </w:r>
      <w:r>
        <w:rPr>
          <w:rFonts w:eastAsiaTheme="minorEastAsia" w:cs="Arial"/>
        </w:rPr>
        <w:t>container).</w:t>
      </w:r>
      <w:r w:rsidR="00A81E7F">
        <w:rPr>
          <w:rFonts w:eastAsiaTheme="minorEastAsia" w:cs="Arial"/>
        </w:rPr>
        <w:t xml:space="preserve"> The UE evaluates the execution condition (</w:t>
      </w:r>
      <w:r w:rsidR="00DA4B3B">
        <w:rPr>
          <w:rFonts w:eastAsiaTheme="minorEastAsia" w:cs="Arial"/>
        </w:rPr>
        <w:t>linked to</w:t>
      </w:r>
      <w:r w:rsidR="00A81E7F">
        <w:rPr>
          <w:rFonts w:eastAsiaTheme="minorEastAsia" w:cs="Arial"/>
        </w:rPr>
        <w:t xml:space="preserve"> measurement event) and apply the RRC Reconfiguration message inside the container once the execution condition is met.</w:t>
      </w:r>
    </w:p>
    <w:p w14:paraId="3C4CBBBF" w14:textId="3E16DC51" w:rsidR="00F754D1" w:rsidRDefault="00F754D1" w:rsidP="00EF20EF">
      <w:pPr>
        <w:pStyle w:val="Doc-text2"/>
        <w:tabs>
          <w:tab w:val="left" w:pos="340"/>
        </w:tabs>
        <w:ind w:left="0" w:firstLine="0"/>
        <w:jc w:val="both"/>
        <w:rPr>
          <w:rFonts w:eastAsiaTheme="minorEastAsia" w:cs="Arial"/>
        </w:rPr>
      </w:pPr>
    </w:p>
    <w:p w14:paraId="60BC056B" w14:textId="5DA34A44" w:rsidR="00AE5E76" w:rsidRDefault="00A81E7F" w:rsidP="00AE5E76">
      <w:pPr>
        <w:pStyle w:val="Doc-text2"/>
        <w:tabs>
          <w:tab w:val="left" w:pos="340"/>
        </w:tabs>
        <w:ind w:left="0" w:firstLine="0"/>
        <w:jc w:val="both"/>
        <w:rPr>
          <w:rFonts w:eastAsiaTheme="minorEastAsia" w:cs="Arial"/>
        </w:rPr>
      </w:pPr>
      <w:r>
        <w:rPr>
          <w:rFonts w:eastAsiaTheme="minorEastAsia" w:cs="Arial"/>
        </w:rPr>
        <w:t>For CHO with candidate SCGs, i</w:t>
      </w:r>
      <w:r w:rsidR="00AE5E76" w:rsidRPr="005B778F">
        <w:rPr>
          <w:rFonts w:eastAsiaTheme="minorEastAsia" w:cs="Arial"/>
        </w:rPr>
        <w:t xml:space="preserve">t may involve container within a container and thus it is complicated. </w:t>
      </w:r>
      <w:r w:rsidR="00DA4B3B">
        <w:rPr>
          <w:rFonts w:eastAsiaTheme="minorEastAsia" w:cs="Arial"/>
        </w:rPr>
        <w:t>RAN2</w:t>
      </w:r>
      <w:r>
        <w:rPr>
          <w:rFonts w:eastAsiaTheme="minorEastAsia" w:cs="Arial"/>
        </w:rPr>
        <w:t xml:space="preserve"> should </w:t>
      </w:r>
      <w:r w:rsidR="00DA4B3B">
        <w:rPr>
          <w:rFonts w:eastAsiaTheme="minorEastAsia" w:cs="Arial"/>
        </w:rPr>
        <w:t>discuss</w:t>
      </w:r>
      <w:r>
        <w:rPr>
          <w:rFonts w:eastAsiaTheme="minorEastAsia" w:cs="Arial"/>
        </w:rPr>
        <w:t xml:space="preserve"> </w:t>
      </w:r>
      <w:r w:rsidR="00AE5E76" w:rsidRPr="005B778F">
        <w:rPr>
          <w:rFonts w:eastAsiaTheme="minorEastAsia" w:cs="Arial"/>
        </w:rPr>
        <w:t>the RRC configuration structure and the linking of container</w:t>
      </w:r>
      <w:r w:rsidR="00DA4B3B">
        <w:rPr>
          <w:rFonts w:eastAsiaTheme="minorEastAsia" w:cs="Arial"/>
        </w:rPr>
        <w:t>(s)</w:t>
      </w:r>
      <w:r w:rsidR="00AE5E76" w:rsidRPr="005B778F">
        <w:rPr>
          <w:rFonts w:eastAsiaTheme="minorEastAsia" w:cs="Arial"/>
        </w:rPr>
        <w:t xml:space="preserve"> with execution conditions.</w:t>
      </w:r>
    </w:p>
    <w:p w14:paraId="57D9FC97" w14:textId="34567E0F" w:rsidR="00AE5E76" w:rsidRDefault="00AE5E76" w:rsidP="00EF20EF">
      <w:pPr>
        <w:pStyle w:val="Doc-text2"/>
        <w:tabs>
          <w:tab w:val="left" w:pos="340"/>
        </w:tabs>
        <w:ind w:left="0" w:firstLine="0"/>
        <w:jc w:val="both"/>
        <w:rPr>
          <w:rFonts w:eastAsiaTheme="minorEastAsia" w:cs="Arial"/>
        </w:rPr>
      </w:pPr>
    </w:p>
    <w:p w14:paraId="01D1566E" w14:textId="2A4EB9F8" w:rsidR="0013168F" w:rsidRDefault="004A0776" w:rsidP="00EF20EF">
      <w:pPr>
        <w:pStyle w:val="Doc-text2"/>
        <w:tabs>
          <w:tab w:val="left" w:pos="340"/>
        </w:tabs>
        <w:ind w:left="0" w:firstLine="0"/>
        <w:jc w:val="both"/>
        <w:rPr>
          <w:rFonts w:eastAsiaTheme="minorEastAsia" w:cs="Arial"/>
        </w:rPr>
      </w:pPr>
      <w:r>
        <w:rPr>
          <w:rFonts w:eastAsiaTheme="minorEastAsia" w:cs="Arial"/>
        </w:rPr>
        <w:t xml:space="preserve">In Figure 1 below, we try to illustrate the current RRC model for CHO </w:t>
      </w:r>
      <w:r w:rsidR="0013168F">
        <w:rPr>
          <w:rFonts w:eastAsiaTheme="minorEastAsia" w:cs="Arial"/>
        </w:rPr>
        <w:t xml:space="preserve">with CPC </w:t>
      </w:r>
      <w:r w:rsidR="00CD6AFF">
        <w:rPr>
          <w:rFonts w:eastAsiaTheme="minorEastAsia" w:cs="Arial"/>
        </w:rPr>
        <w:t>configuration</w:t>
      </w:r>
      <w:r>
        <w:rPr>
          <w:rFonts w:eastAsiaTheme="minorEastAsia" w:cs="Arial"/>
        </w:rPr>
        <w:t>.</w:t>
      </w:r>
      <w:r w:rsidR="0013168F">
        <w:rPr>
          <w:rFonts w:eastAsiaTheme="minorEastAsia" w:cs="Arial"/>
        </w:rPr>
        <w:t xml:space="preserve"> Note that there are two major limitations in </w:t>
      </w:r>
      <w:r w:rsidR="00EB113B">
        <w:rPr>
          <w:rFonts w:eastAsiaTheme="minorEastAsia" w:cs="Arial"/>
        </w:rPr>
        <w:t>Rel-17.</w:t>
      </w:r>
    </w:p>
    <w:p w14:paraId="752ED3BF" w14:textId="7B3F09B4" w:rsidR="00A81E7F" w:rsidRDefault="00CD6AFF" w:rsidP="0013168F">
      <w:pPr>
        <w:pStyle w:val="Doc-text2"/>
        <w:numPr>
          <w:ilvl w:val="0"/>
          <w:numId w:val="12"/>
        </w:numPr>
        <w:tabs>
          <w:tab w:val="left" w:pos="340"/>
        </w:tabs>
        <w:jc w:val="both"/>
        <w:rPr>
          <w:rFonts w:eastAsiaTheme="minorEastAsia" w:cs="Arial"/>
        </w:rPr>
      </w:pPr>
      <w:r>
        <w:rPr>
          <w:rFonts w:eastAsiaTheme="minorEastAsia" w:cs="Arial"/>
        </w:rPr>
        <w:t xml:space="preserve">The CHO execution condition could only be based on </w:t>
      </w:r>
      <w:r w:rsidRPr="00CD6AFF">
        <w:rPr>
          <w:rFonts w:eastAsiaTheme="minorEastAsia" w:cs="Arial"/>
          <w:b/>
          <w:bCs/>
        </w:rPr>
        <w:t>PCell</w:t>
      </w:r>
      <w:r>
        <w:rPr>
          <w:rFonts w:eastAsiaTheme="minorEastAsia" w:cs="Arial"/>
        </w:rPr>
        <w:t xml:space="preserve">, not </w:t>
      </w:r>
      <w:r w:rsidRPr="00CD6AFF">
        <w:rPr>
          <w:rFonts w:eastAsiaTheme="minorEastAsia" w:cs="Arial"/>
          <w:b/>
          <w:bCs/>
        </w:rPr>
        <w:t>PSCell</w:t>
      </w:r>
    </w:p>
    <w:p w14:paraId="282A93AA" w14:textId="6250C6B7" w:rsidR="00CD6AFF" w:rsidRDefault="00CD6AFF" w:rsidP="0013168F">
      <w:pPr>
        <w:pStyle w:val="Doc-text2"/>
        <w:numPr>
          <w:ilvl w:val="0"/>
          <w:numId w:val="12"/>
        </w:numPr>
        <w:tabs>
          <w:tab w:val="left" w:pos="340"/>
        </w:tabs>
        <w:jc w:val="both"/>
        <w:rPr>
          <w:rFonts w:eastAsiaTheme="minorEastAsia" w:cs="Arial"/>
        </w:rPr>
      </w:pPr>
      <w:r>
        <w:rPr>
          <w:rFonts w:eastAsiaTheme="minorEastAsia" w:cs="Arial"/>
        </w:rPr>
        <w:t xml:space="preserve">The execution command in CHO can NOT contain further </w:t>
      </w:r>
      <w:r w:rsidR="000F0A7F">
        <w:rPr>
          <w:rFonts w:eastAsiaTheme="minorEastAsia" w:cs="Arial"/>
        </w:rPr>
        <w:t xml:space="preserve">conditional reconfiguration field </w:t>
      </w:r>
      <w:r w:rsidR="002402A7">
        <w:rPr>
          <w:rFonts w:eastAsiaTheme="minorEastAsia" w:cs="Arial"/>
        </w:rPr>
        <w:t>(See Annex)</w:t>
      </w:r>
    </w:p>
    <w:p w14:paraId="1716C14C" w14:textId="77777777" w:rsidR="00AE5E76" w:rsidRDefault="00AE5E76" w:rsidP="00EF20EF">
      <w:pPr>
        <w:pStyle w:val="Doc-text2"/>
        <w:tabs>
          <w:tab w:val="left" w:pos="340"/>
        </w:tabs>
        <w:ind w:left="0" w:firstLine="0"/>
        <w:jc w:val="both"/>
        <w:rPr>
          <w:rFonts w:eastAsiaTheme="minorEastAsia" w:cs="Arial"/>
        </w:rPr>
      </w:pPr>
    </w:p>
    <w:p w14:paraId="61B94E75" w14:textId="31BA3E92" w:rsidR="000D0C5D" w:rsidRDefault="00EF51D6" w:rsidP="00EF20EF">
      <w:pPr>
        <w:pStyle w:val="Doc-text2"/>
        <w:tabs>
          <w:tab w:val="left" w:pos="340"/>
        </w:tabs>
        <w:ind w:left="0" w:firstLine="0"/>
        <w:jc w:val="both"/>
        <w:rPr>
          <w:rFonts w:eastAsiaTheme="minorEastAsia" w:cs="Arial"/>
        </w:rPr>
      </w:pPr>
      <w:r w:rsidRPr="00EF51D6">
        <w:rPr>
          <w:noProof/>
        </w:rPr>
        <w:drawing>
          <wp:inline distT="0" distB="0" distL="0" distR="0" wp14:anchorId="223ACAE8" wp14:editId="47F4526F">
            <wp:extent cx="6646545" cy="36537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3653790"/>
                    </a:xfrm>
                    <a:prstGeom prst="rect">
                      <a:avLst/>
                    </a:prstGeom>
                    <a:noFill/>
                    <a:ln>
                      <a:noFill/>
                    </a:ln>
                  </pic:spPr>
                </pic:pic>
              </a:graphicData>
            </a:graphic>
          </wp:inline>
        </w:drawing>
      </w:r>
    </w:p>
    <w:p w14:paraId="1EF91971" w14:textId="77777777" w:rsidR="0013168F" w:rsidRDefault="0013168F" w:rsidP="00EF20EF">
      <w:pPr>
        <w:pStyle w:val="Doc-text2"/>
        <w:tabs>
          <w:tab w:val="left" w:pos="340"/>
        </w:tabs>
        <w:ind w:left="0" w:firstLine="0"/>
        <w:jc w:val="both"/>
        <w:rPr>
          <w:rFonts w:eastAsiaTheme="minorEastAsia" w:cs="Arial"/>
        </w:rPr>
      </w:pPr>
    </w:p>
    <w:p w14:paraId="3281BC9E" w14:textId="2B913A81" w:rsidR="000D0C5D" w:rsidRDefault="000D0C5D" w:rsidP="000D0C5D">
      <w:pPr>
        <w:pStyle w:val="Doc-text2"/>
        <w:tabs>
          <w:tab w:val="left" w:pos="340"/>
        </w:tabs>
        <w:ind w:left="0" w:firstLine="0"/>
        <w:jc w:val="center"/>
        <w:rPr>
          <w:rFonts w:eastAsiaTheme="minorEastAsia" w:cs="Arial"/>
        </w:rPr>
      </w:pPr>
      <w:r>
        <w:rPr>
          <w:rFonts w:eastAsiaTheme="minorEastAsia" w:cs="Arial"/>
        </w:rPr>
        <w:t>Figure 1 – RRC containers for CHO with CPC</w:t>
      </w:r>
    </w:p>
    <w:p w14:paraId="7A2ADFE9" w14:textId="77777777" w:rsidR="00AF2DAA" w:rsidRDefault="00AF2DAA" w:rsidP="00EF20EF">
      <w:pPr>
        <w:pStyle w:val="Doc-text2"/>
        <w:tabs>
          <w:tab w:val="left" w:pos="340"/>
        </w:tabs>
        <w:ind w:left="0" w:firstLine="0"/>
        <w:jc w:val="both"/>
        <w:rPr>
          <w:rFonts w:eastAsiaTheme="minorEastAsia" w:cs="Arial"/>
        </w:rPr>
      </w:pPr>
    </w:p>
    <w:p w14:paraId="6219B03B" w14:textId="5DDF708B" w:rsidR="00EF51D6" w:rsidRDefault="00AF2DAA" w:rsidP="00EF20EF">
      <w:pPr>
        <w:pStyle w:val="Doc-text2"/>
        <w:tabs>
          <w:tab w:val="left" w:pos="340"/>
        </w:tabs>
        <w:ind w:left="0" w:firstLine="0"/>
        <w:jc w:val="both"/>
        <w:rPr>
          <w:rFonts w:eastAsiaTheme="minorEastAsia" w:cs="Arial"/>
        </w:rPr>
      </w:pPr>
      <w:r>
        <w:rPr>
          <w:rFonts w:eastAsiaTheme="minorEastAsia" w:cs="Arial"/>
        </w:rPr>
        <w:t xml:space="preserve">On execution condition of CHO with candidate SCG, first we would like to </w:t>
      </w:r>
      <w:r w:rsidR="00C03FD4">
        <w:rPr>
          <w:rFonts w:eastAsiaTheme="minorEastAsia" w:cs="Arial"/>
        </w:rPr>
        <w:t>confirm that</w:t>
      </w:r>
      <w:r>
        <w:rPr>
          <w:rFonts w:eastAsiaTheme="minorEastAsia" w:cs="Arial"/>
        </w:rPr>
        <w:t xml:space="preserve"> the current agreements implies that </w:t>
      </w:r>
      <w:r w:rsidR="00926F42">
        <w:rPr>
          <w:rFonts w:eastAsiaTheme="minorEastAsia" w:cs="Arial"/>
        </w:rPr>
        <w:t>the</w:t>
      </w:r>
      <w:r w:rsidR="00BD7283">
        <w:rPr>
          <w:rFonts w:eastAsiaTheme="minorEastAsia" w:cs="Arial"/>
        </w:rPr>
        <w:t xml:space="preserve"> execution condition is based on the measurement configuration in current configuration. The measurement configuration inside the containers has nothing to do the execution condition. </w:t>
      </w:r>
    </w:p>
    <w:p w14:paraId="172FF9B7" w14:textId="77777777" w:rsidR="00AF2DAA" w:rsidRDefault="00AF2DAA" w:rsidP="00EF20EF">
      <w:pPr>
        <w:pStyle w:val="Doc-text2"/>
        <w:tabs>
          <w:tab w:val="left" w:pos="340"/>
        </w:tabs>
        <w:ind w:left="0" w:firstLine="0"/>
        <w:jc w:val="both"/>
        <w:rPr>
          <w:rFonts w:eastAsiaTheme="minorEastAsia" w:cs="Arial"/>
        </w:rPr>
      </w:pPr>
    </w:p>
    <w:p w14:paraId="4AAC4237" w14:textId="5975485B" w:rsidR="005B778F" w:rsidRPr="005B778F" w:rsidRDefault="005B778F" w:rsidP="005B778F">
      <w:pPr>
        <w:pStyle w:val="Doc-text2"/>
        <w:tabs>
          <w:tab w:val="left" w:pos="340"/>
        </w:tabs>
        <w:ind w:left="0" w:firstLine="0"/>
        <w:jc w:val="both"/>
        <w:rPr>
          <w:rFonts w:cs="Arial"/>
          <w:b/>
        </w:rPr>
      </w:pPr>
      <w:r w:rsidRPr="008A29F1">
        <w:rPr>
          <w:rFonts w:cs="Arial"/>
          <w:b/>
        </w:rPr>
        <w:t xml:space="preserve">Proposal </w:t>
      </w:r>
      <w:r>
        <w:rPr>
          <w:rFonts w:cs="Arial"/>
          <w:b/>
        </w:rPr>
        <w:t xml:space="preserve">1: </w:t>
      </w:r>
      <w:r w:rsidR="00BD7283">
        <w:rPr>
          <w:rFonts w:cs="Arial"/>
          <w:b/>
        </w:rPr>
        <w:t>For CHO with candidate SCG, t</w:t>
      </w:r>
      <w:r>
        <w:rPr>
          <w:rFonts w:cs="Arial"/>
          <w:b/>
        </w:rPr>
        <w:t>he execution condition</w:t>
      </w:r>
      <w:r w:rsidR="00BD7283">
        <w:rPr>
          <w:rFonts w:cs="Arial"/>
          <w:b/>
        </w:rPr>
        <w:t xml:space="preserve"> is associated </w:t>
      </w:r>
      <w:r w:rsidR="00363B98">
        <w:rPr>
          <w:rFonts w:cs="Arial"/>
          <w:b/>
        </w:rPr>
        <w:t>with</w:t>
      </w:r>
      <w:r w:rsidR="00BD7283">
        <w:rPr>
          <w:rFonts w:cs="Arial"/>
          <w:b/>
        </w:rPr>
        <w:t xml:space="preserve"> MN and/or SN configured measurement ID(s) in current conflagration. The measurement configuration inside CHO or CPC execution command </w:t>
      </w:r>
      <w:r w:rsidR="00363B98">
        <w:rPr>
          <w:rFonts w:cs="Arial"/>
          <w:b/>
        </w:rPr>
        <w:t xml:space="preserve">container </w:t>
      </w:r>
      <w:r w:rsidR="00BD7283">
        <w:rPr>
          <w:rFonts w:cs="Arial"/>
          <w:b/>
        </w:rPr>
        <w:t xml:space="preserve">is </w:t>
      </w:r>
      <w:r w:rsidR="00084399">
        <w:rPr>
          <w:rFonts w:cs="Arial"/>
          <w:b/>
        </w:rPr>
        <w:t>NOT</w:t>
      </w:r>
      <w:r w:rsidR="00BD7283">
        <w:rPr>
          <w:rFonts w:cs="Arial"/>
          <w:b/>
        </w:rPr>
        <w:t xml:space="preserve"> used for evaluation.</w:t>
      </w:r>
      <w:r>
        <w:rPr>
          <w:rFonts w:cs="Arial"/>
          <w:b/>
        </w:rPr>
        <w:t xml:space="preserve"> </w:t>
      </w:r>
    </w:p>
    <w:p w14:paraId="1E9E3DF2" w14:textId="73A0E3EF" w:rsidR="005B778F" w:rsidRDefault="005B778F" w:rsidP="00EF20EF">
      <w:pPr>
        <w:pStyle w:val="Doc-text2"/>
        <w:tabs>
          <w:tab w:val="left" w:pos="340"/>
        </w:tabs>
        <w:ind w:left="0" w:firstLine="0"/>
        <w:jc w:val="both"/>
        <w:rPr>
          <w:rFonts w:eastAsiaTheme="minorEastAsia" w:cs="Arial"/>
        </w:rPr>
      </w:pPr>
    </w:p>
    <w:p w14:paraId="7E5541E1" w14:textId="00D38EF2" w:rsidR="00BD7283" w:rsidRDefault="002D3279" w:rsidP="00EF20EF">
      <w:pPr>
        <w:pStyle w:val="Doc-text2"/>
        <w:tabs>
          <w:tab w:val="left" w:pos="340"/>
        </w:tabs>
        <w:ind w:left="0" w:firstLine="0"/>
        <w:jc w:val="both"/>
        <w:rPr>
          <w:rFonts w:eastAsiaTheme="minorEastAsia" w:cs="Arial"/>
        </w:rPr>
      </w:pPr>
      <w:r>
        <w:rPr>
          <w:rFonts w:eastAsiaTheme="minorEastAsia" w:cs="Arial"/>
        </w:rPr>
        <w:t xml:space="preserve">Then on the agreed </w:t>
      </w:r>
      <w:r w:rsidR="00E91130" w:rsidRPr="00E91130">
        <w:rPr>
          <w:rFonts w:eastAsiaTheme="minorEastAsia" w:cs="Arial"/>
        </w:rPr>
        <w:t>simultaneous evaluation of CHO and CPC</w:t>
      </w:r>
      <w:r w:rsidR="007C31A2">
        <w:rPr>
          <w:rFonts w:eastAsiaTheme="minorEastAsia" w:cs="Arial"/>
        </w:rPr>
        <w:t xml:space="preserve">, we would like to clarify this </w:t>
      </w:r>
      <w:r w:rsidR="003176C4">
        <w:rPr>
          <w:rFonts w:eastAsiaTheme="minorEastAsia" w:cs="Arial"/>
        </w:rPr>
        <w:t>corresponds to link the execution condition with both candidate PCell and PSCell. We assume to follow legacy CHO/CPC configuration, this is done by associating the execution condition with measurement ID(s) for candidate PCell and candidate PSCell.</w:t>
      </w:r>
      <w:r w:rsidR="007C31A2">
        <w:rPr>
          <w:rFonts w:eastAsiaTheme="minorEastAsia" w:cs="Arial"/>
        </w:rPr>
        <w:t xml:space="preserve"> </w:t>
      </w:r>
    </w:p>
    <w:p w14:paraId="12A1A919" w14:textId="1CE87C71" w:rsidR="005B778F" w:rsidRDefault="005B778F" w:rsidP="00EF20EF">
      <w:pPr>
        <w:pStyle w:val="Doc-text2"/>
        <w:tabs>
          <w:tab w:val="left" w:pos="340"/>
        </w:tabs>
        <w:ind w:left="0" w:firstLine="0"/>
        <w:jc w:val="both"/>
        <w:rPr>
          <w:rFonts w:eastAsiaTheme="minorEastAsia" w:cs="Arial"/>
        </w:rPr>
      </w:pPr>
    </w:p>
    <w:p w14:paraId="28B3AB6B" w14:textId="359E5F60" w:rsidR="00E91130" w:rsidRPr="005B778F" w:rsidRDefault="00E91130" w:rsidP="00E91130">
      <w:pPr>
        <w:pStyle w:val="Doc-text2"/>
        <w:tabs>
          <w:tab w:val="left" w:pos="340"/>
        </w:tabs>
        <w:ind w:left="0" w:firstLine="0"/>
        <w:jc w:val="both"/>
        <w:rPr>
          <w:rFonts w:cs="Arial"/>
          <w:b/>
        </w:rPr>
      </w:pPr>
      <w:r w:rsidRPr="008A29F1">
        <w:rPr>
          <w:rFonts w:cs="Arial"/>
          <w:b/>
        </w:rPr>
        <w:t xml:space="preserve">Proposal </w:t>
      </w:r>
      <w:r>
        <w:rPr>
          <w:rFonts w:cs="Arial"/>
          <w:b/>
        </w:rPr>
        <w:t xml:space="preserve">2: For CHO with candidate SCG, the execution condition </w:t>
      </w:r>
      <w:r w:rsidR="007C31A2">
        <w:rPr>
          <w:rFonts w:cs="Arial"/>
          <w:b/>
        </w:rPr>
        <w:t>could be</w:t>
      </w:r>
      <w:r>
        <w:rPr>
          <w:rFonts w:cs="Arial"/>
          <w:b/>
        </w:rPr>
        <w:t xml:space="preserve"> associated with </w:t>
      </w:r>
      <w:r w:rsidR="007C31A2">
        <w:rPr>
          <w:rFonts w:cs="Arial"/>
          <w:b/>
        </w:rPr>
        <w:t xml:space="preserve">more one measurement ID(s), where some measurement ID </w:t>
      </w:r>
      <w:r w:rsidR="00C03FD4">
        <w:rPr>
          <w:rFonts w:cs="Arial"/>
          <w:b/>
        </w:rPr>
        <w:t>are</w:t>
      </w:r>
      <w:r w:rsidR="007C31A2">
        <w:rPr>
          <w:rFonts w:cs="Arial"/>
          <w:b/>
        </w:rPr>
        <w:t xml:space="preserve"> linked to candidate PCell and some are linked to candidate PSCell</w:t>
      </w:r>
      <w:r>
        <w:rPr>
          <w:rFonts w:cs="Arial"/>
          <w:b/>
        </w:rPr>
        <w:t>. FFS maximum number of associated measurement IDs.</w:t>
      </w:r>
    </w:p>
    <w:p w14:paraId="1DFAABFB" w14:textId="34A4871D" w:rsidR="000D0C5D" w:rsidRDefault="000D0C5D" w:rsidP="00EF20EF">
      <w:pPr>
        <w:pStyle w:val="Doc-text2"/>
        <w:tabs>
          <w:tab w:val="left" w:pos="340"/>
        </w:tabs>
        <w:ind w:left="0" w:firstLine="0"/>
        <w:jc w:val="both"/>
        <w:rPr>
          <w:rFonts w:eastAsiaTheme="minorEastAsia" w:cs="Arial"/>
        </w:rPr>
      </w:pPr>
    </w:p>
    <w:p w14:paraId="26E02F97" w14:textId="28FFFE7E" w:rsidR="000D0C5D" w:rsidRDefault="003176C4" w:rsidP="00EF20EF">
      <w:pPr>
        <w:pStyle w:val="Doc-text2"/>
        <w:tabs>
          <w:tab w:val="left" w:pos="340"/>
        </w:tabs>
        <w:ind w:left="0" w:firstLine="0"/>
        <w:jc w:val="both"/>
        <w:rPr>
          <w:rFonts w:eastAsiaTheme="minorEastAsia" w:cs="Arial"/>
        </w:rPr>
      </w:pPr>
      <w:r>
        <w:rPr>
          <w:rFonts w:eastAsiaTheme="minorEastAsia" w:cs="Arial"/>
        </w:rPr>
        <w:t xml:space="preserve">For the execution command, </w:t>
      </w:r>
      <w:r w:rsidR="00E960D8">
        <w:rPr>
          <w:rFonts w:eastAsiaTheme="minorEastAsia" w:cs="Arial"/>
        </w:rPr>
        <w:t>we would like to discuss where to put the candidate target SCG configuration (</w:t>
      </w:r>
      <w:r w:rsidR="00A00E7E">
        <w:rPr>
          <w:rFonts w:eastAsiaTheme="minorEastAsia" w:cs="Arial"/>
        </w:rPr>
        <w:t>e.g.</w:t>
      </w:r>
      <w:r w:rsidR="00E960D8">
        <w:rPr>
          <w:rFonts w:eastAsiaTheme="minorEastAsia" w:cs="Arial"/>
        </w:rPr>
        <w:t xml:space="preserve"> whether we need second level container</w:t>
      </w:r>
      <w:r w:rsidR="00A00E7E">
        <w:rPr>
          <w:rFonts w:eastAsiaTheme="minorEastAsia" w:cs="Arial"/>
        </w:rPr>
        <w:t xml:space="preserve"> and how to associate MCG configuration and SCG configuring</w:t>
      </w:r>
      <w:r w:rsidR="00E960D8">
        <w:rPr>
          <w:rFonts w:eastAsiaTheme="minorEastAsia" w:cs="Arial"/>
        </w:rPr>
        <w:t xml:space="preserve">). </w:t>
      </w:r>
      <w:r w:rsidR="00DA0ADC">
        <w:rPr>
          <w:rFonts w:eastAsiaTheme="minorEastAsia" w:cs="Arial"/>
        </w:rPr>
        <w:t xml:space="preserve">We could have below </w:t>
      </w:r>
      <w:r w:rsidR="00A00E7E">
        <w:rPr>
          <w:rFonts w:eastAsiaTheme="minorEastAsia" w:cs="Arial"/>
        </w:rPr>
        <w:t>3</w:t>
      </w:r>
      <w:r w:rsidR="00DA0ADC">
        <w:rPr>
          <w:rFonts w:eastAsiaTheme="minorEastAsia" w:cs="Arial"/>
        </w:rPr>
        <w:t xml:space="preserve"> different options</w:t>
      </w:r>
    </w:p>
    <w:p w14:paraId="6B719FF1" w14:textId="0EDE5A3C" w:rsidR="00DA0ADC" w:rsidRPr="00A64E62" w:rsidRDefault="00DA0ADC" w:rsidP="00DA0ADC">
      <w:pPr>
        <w:pStyle w:val="Doc-text2"/>
        <w:numPr>
          <w:ilvl w:val="0"/>
          <w:numId w:val="14"/>
        </w:numPr>
        <w:tabs>
          <w:tab w:val="left" w:pos="340"/>
        </w:tabs>
        <w:rPr>
          <w:rFonts w:cs="Arial"/>
          <w:bCs/>
        </w:rPr>
      </w:pPr>
      <w:r w:rsidRPr="00A00E7E">
        <w:rPr>
          <w:rFonts w:cs="Arial"/>
          <w:b/>
        </w:rPr>
        <w:t>Option 1</w:t>
      </w:r>
      <w:r w:rsidRPr="00A64E62">
        <w:rPr>
          <w:rFonts w:cs="Arial"/>
          <w:bCs/>
        </w:rPr>
        <w:t>: Candidate target SCG configuration in CHO execution command (no need second level container)</w:t>
      </w:r>
    </w:p>
    <w:p w14:paraId="084217CC" w14:textId="77777777" w:rsidR="00A64E62" w:rsidRPr="00DA0ADC" w:rsidRDefault="00A64E62" w:rsidP="00A64E62">
      <w:pPr>
        <w:pStyle w:val="Doc-text2"/>
        <w:numPr>
          <w:ilvl w:val="1"/>
          <w:numId w:val="14"/>
        </w:numPr>
        <w:tabs>
          <w:tab w:val="left" w:pos="340"/>
        </w:tabs>
        <w:rPr>
          <w:rFonts w:cs="Arial"/>
          <w:bCs/>
        </w:rPr>
      </w:pPr>
      <w:r w:rsidRPr="00DA0ADC">
        <w:rPr>
          <w:rFonts w:cs="Arial"/>
          <w:bCs/>
        </w:rPr>
        <w:t>Similar to CHO with target SCG</w:t>
      </w:r>
    </w:p>
    <w:p w14:paraId="4E34231C" w14:textId="191C8A6B" w:rsidR="007445C4" w:rsidRDefault="007445C4" w:rsidP="00DA0ADC">
      <w:pPr>
        <w:pStyle w:val="Doc-text2"/>
        <w:numPr>
          <w:ilvl w:val="1"/>
          <w:numId w:val="14"/>
        </w:numPr>
        <w:tabs>
          <w:tab w:val="left" w:pos="340"/>
        </w:tabs>
        <w:rPr>
          <w:rFonts w:cs="Arial"/>
          <w:bCs/>
        </w:rPr>
      </w:pPr>
      <w:r>
        <w:rPr>
          <w:rFonts w:cs="Arial"/>
          <w:bCs/>
        </w:rPr>
        <w:t>Simpler SPEC model but may request multiple CHO execution command (</w:t>
      </w:r>
      <w:r w:rsidR="00A64E62">
        <w:rPr>
          <w:rFonts w:cs="Arial"/>
          <w:bCs/>
        </w:rPr>
        <w:t xml:space="preserve">multiple </w:t>
      </w:r>
      <w:r>
        <w:rPr>
          <w:rFonts w:cs="Arial"/>
          <w:bCs/>
        </w:rPr>
        <w:t>first level container</w:t>
      </w:r>
      <w:r w:rsidR="00AC5031">
        <w:rPr>
          <w:rFonts w:cs="Arial"/>
          <w:bCs/>
        </w:rPr>
        <w:t>s</w:t>
      </w:r>
      <w:r>
        <w:rPr>
          <w:rFonts w:cs="Arial"/>
          <w:bCs/>
        </w:rPr>
        <w:t>)</w:t>
      </w:r>
      <w:r w:rsidR="00A64E62">
        <w:rPr>
          <w:rFonts w:cs="Arial"/>
          <w:bCs/>
        </w:rPr>
        <w:t xml:space="preserve"> for multiple candidate SCGs.</w:t>
      </w:r>
    </w:p>
    <w:p w14:paraId="79F5F465" w14:textId="010293E5" w:rsidR="007863F9" w:rsidRDefault="007863F9" w:rsidP="007863F9">
      <w:pPr>
        <w:pStyle w:val="Doc-text2"/>
        <w:numPr>
          <w:ilvl w:val="2"/>
          <w:numId w:val="14"/>
        </w:numPr>
        <w:tabs>
          <w:tab w:val="left" w:pos="340"/>
        </w:tabs>
        <w:rPr>
          <w:rFonts w:cs="Arial"/>
          <w:bCs/>
        </w:rPr>
      </w:pPr>
      <w:r>
        <w:rPr>
          <w:rFonts w:cs="Arial"/>
          <w:bCs/>
        </w:rPr>
        <w:t>We assume that the execution condition could be simply defined as fulfilling both measurement event in PCell and PSCell (i.e. a simple AND logic)</w:t>
      </w:r>
    </w:p>
    <w:p w14:paraId="653E063C" w14:textId="6599342D" w:rsidR="00DA0ADC" w:rsidRDefault="00DA0ADC" w:rsidP="00DA0ADC">
      <w:pPr>
        <w:pStyle w:val="Doc-text2"/>
        <w:numPr>
          <w:ilvl w:val="0"/>
          <w:numId w:val="14"/>
        </w:numPr>
        <w:tabs>
          <w:tab w:val="left" w:pos="340"/>
        </w:tabs>
        <w:rPr>
          <w:rFonts w:cs="Arial"/>
          <w:bCs/>
        </w:rPr>
      </w:pPr>
      <w:r w:rsidRPr="00A00E7E">
        <w:rPr>
          <w:rFonts w:cs="Arial"/>
          <w:b/>
        </w:rPr>
        <w:t>Option 2</w:t>
      </w:r>
      <w:r w:rsidRPr="00A64E62">
        <w:rPr>
          <w:rFonts w:cs="Arial"/>
          <w:bCs/>
        </w:rPr>
        <w:t>: Candidate target SCG configuration in CPC execution command which is embedded in CHO execution command (second level container)</w:t>
      </w:r>
    </w:p>
    <w:p w14:paraId="2A5D5AF5" w14:textId="77777777" w:rsidR="007863F9" w:rsidRDefault="00AC5031" w:rsidP="00A64E62">
      <w:pPr>
        <w:pStyle w:val="Doc-text2"/>
        <w:numPr>
          <w:ilvl w:val="1"/>
          <w:numId w:val="14"/>
        </w:numPr>
        <w:tabs>
          <w:tab w:val="left" w:pos="340"/>
        </w:tabs>
        <w:rPr>
          <w:rFonts w:cs="Arial"/>
          <w:bCs/>
        </w:rPr>
      </w:pPr>
      <w:r>
        <w:rPr>
          <w:rFonts w:cs="Arial"/>
          <w:bCs/>
        </w:rPr>
        <w:lastRenderedPageBreak/>
        <w:t xml:space="preserve">If the execution command is met, the UE first apply the RRC reconfiguration in first level container (CHO command) and the RRC Reconfiguration in second level </w:t>
      </w:r>
      <w:r w:rsidRPr="00A64E62">
        <w:rPr>
          <w:rFonts w:cs="Arial"/>
          <w:bCs/>
        </w:rPr>
        <w:t>container</w:t>
      </w:r>
      <w:r>
        <w:rPr>
          <w:rFonts w:cs="Arial"/>
          <w:bCs/>
        </w:rPr>
        <w:t xml:space="preserve"> (CPC command)</w:t>
      </w:r>
    </w:p>
    <w:p w14:paraId="5BB1867A" w14:textId="662443BF" w:rsidR="00DA0ADC" w:rsidRDefault="00AC5031" w:rsidP="00DA0ADC">
      <w:pPr>
        <w:pStyle w:val="Doc-text2"/>
        <w:numPr>
          <w:ilvl w:val="1"/>
          <w:numId w:val="14"/>
        </w:numPr>
        <w:tabs>
          <w:tab w:val="left" w:pos="340"/>
        </w:tabs>
        <w:jc w:val="both"/>
        <w:rPr>
          <w:rFonts w:cs="Arial"/>
          <w:bCs/>
        </w:rPr>
      </w:pPr>
      <w:r>
        <w:rPr>
          <w:rFonts w:cs="Arial"/>
          <w:bCs/>
        </w:rPr>
        <w:t>More complicate model. Further</w:t>
      </w:r>
      <w:r w:rsidR="00A64E62" w:rsidRPr="00A64E62">
        <w:rPr>
          <w:rFonts w:cs="Arial"/>
          <w:bCs/>
        </w:rPr>
        <w:t xml:space="preserve"> discussion</w:t>
      </w:r>
      <w:r>
        <w:rPr>
          <w:rFonts w:cs="Arial"/>
          <w:bCs/>
        </w:rPr>
        <w:t xml:space="preserve"> is needed</w:t>
      </w:r>
      <w:r w:rsidR="00A64E62" w:rsidRPr="00A64E62">
        <w:rPr>
          <w:rFonts w:cs="Arial"/>
          <w:bCs/>
        </w:rPr>
        <w:t xml:space="preserve"> but </w:t>
      </w:r>
      <w:r w:rsidR="00A64E62">
        <w:rPr>
          <w:rFonts w:cs="Arial"/>
          <w:bCs/>
        </w:rPr>
        <w:t>could save some signaling overhead</w:t>
      </w:r>
      <w:r>
        <w:rPr>
          <w:rFonts w:cs="Arial"/>
          <w:bCs/>
        </w:rPr>
        <w:t xml:space="preserve"> in case the number of candidate SCGs are large.</w:t>
      </w:r>
    </w:p>
    <w:p w14:paraId="1847D207" w14:textId="66074E54" w:rsidR="007863F9" w:rsidRDefault="007863F9" w:rsidP="007863F9">
      <w:pPr>
        <w:pStyle w:val="Doc-text2"/>
        <w:numPr>
          <w:ilvl w:val="2"/>
          <w:numId w:val="14"/>
        </w:numPr>
        <w:tabs>
          <w:tab w:val="left" w:pos="340"/>
        </w:tabs>
        <w:jc w:val="both"/>
        <w:rPr>
          <w:rFonts w:cs="Arial"/>
          <w:bCs/>
        </w:rPr>
      </w:pPr>
      <w:r>
        <w:rPr>
          <w:rFonts w:cs="Arial"/>
          <w:bCs/>
        </w:rPr>
        <w:t>The execution condition may have to somehow link to the CPC execution command inside the container.</w:t>
      </w:r>
    </w:p>
    <w:p w14:paraId="276752FE" w14:textId="3B74C23E" w:rsidR="00A00E7E" w:rsidRDefault="00F814D3" w:rsidP="00F814D3">
      <w:pPr>
        <w:pStyle w:val="Doc-text2"/>
        <w:numPr>
          <w:ilvl w:val="0"/>
          <w:numId w:val="14"/>
        </w:numPr>
        <w:tabs>
          <w:tab w:val="left" w:pos="340"/>
        </w:tabs>
        <w:jc w:val="both"/>
        <w:rPr>
          <w:rFonts w:cs="Arial"/>
          <w:bCs/>
        </w:rPr>
      </w:pPr>
      <w:r w:rsidRPr="00A00E7E">
        <w:rPr>
          <w:rFonts w:cs="Arial"/>
          <w:b/>
        </w:rPr>
        <w:t>Option 3</w:t>
      </w:r>
      <w:r>
        <w:rPr>
          <w:rFonts w:cs="Arial"/>
          <w:bCs/>
        </w:rPr>
        <w:t xml:space="preserve">: </w:t>
      </w:r>
      <w:r w:rsidR="00A00E7E">
        <w:rPr>
          <w:rFonts w:cs="Arial"/>
          <w:bCs/>
        </w:rPr>
        <w:t xml:space="preserve">Separate list for </w:t>
      </w:r>
      <w:r w:rsidR="00A00E7E" w:rsidRPr="00A64E62">
        <w:rPr>
          <w:rFonts w:cs="Arial"/>
          <w:bCs/>
        </w:rPr>
        <w:t xml:space="preserve">target </w:t>
      </w:r>
      <w:r w:rsidR="00A00E7E">
        <w:rPr>
          <w:rFonts w:cs="Arial"/>
          <w:bCs/>
        </w:rPr>
        <w:t>MCG</w:t>
      </w:r>
      <w:r w:rsidR="00A00E7E" w:rsidRPr="00A64E62">
        <w:rPr>
          <w:rFonts w:cs="Arial"/>
          <w:bCs/>
        </w:rPr>
        <w:t xml:space="preserve"> configuration</w:t>
      </w:r>
      <w:r w:rsidR="00362B3C">
        <w:rPr>
          <w:rFonts w:cs="Arial"/>
          <w:bCs/>
        </w:rPr>
        <w:t xml:space="preserve"> (CHO)</w:t>
      </w:r>
      <w:r w:rsidR="00A00E7E">
        <w:rPr>
          <w:rFonts w:cs="Arial"/>
          <w:bCs/>
        </w:rPr>
        <w:t xml:space="preserve"> and target SCG configuration</w:t>
      </w:r>
      <w:r w:rsidR="00362B3C">
        <w:rPr>
          <w:rFonts w:cs="Arial"/>
          <w:bCs/>
        </w:rPr>
        <w:t xml:space="preserve"> (CPC) with explicit link</w:t>
      </w:r>
      <w:r w:rsidR="00A00E7E">
        <w:rPr>
          <w:rFonts w:cs="Arial"/>
          <w:bCs/>
        </w:rPr>
        <w:t xml:space="preserve"> </w:t>
      </w:r>
      <w:r w:rsidR="00A00E7E" w:rsidRPr="00A64E62">
        <w:rPr>
          <w:rFonts w:cs="Arial"/>
          <w:bCs/>
        </w:rPr>
        <w:t>(no need second level container)</w:t>
      </w:r>
      <w:r w:rsidR="00362B3C">
        <w:rPr>
          <w:rFonts w:cs="Arial"/>
          <w:bCs/>
        </w:rPr>
        <w:t>.</w:t>
      </w:r>
    </w:p>
    <w:p w14:paraId="20F4D16C" w14:textId="77777777" w:rsidR="00094CA2" w:rsidRDefault="00094CA2" w:rsidP="00EF20EF">
      <w:pPr>
        <w:pStyle w:val="Doc-text2"/>
        <w:tabs>
          <w:tab w:val="left" w:pos="340"/>
        </w:tabs>
        <w:ind w:left="0" w:firstLine="0"/>
        <w:jc w:val="both"/>
        <w:rPr>
          <w:rFonts w:eastAsiaTheme="minorEastAsia"/>
        </w:rPr>
      </w:pPr>
    </w:p>
    <w:p w14:paraId="54B89A58" w14:textId="39A69BDD" w:rsidR="00996E6A" w:rsidRDefault="00094CA2" w:rsidP="00EF20EF">
      <w:pPr>
        <w:pStyle w:val="Doc-text2"/>
        <w:tabs>
          <w:tab w:val="left" w:pos="340"/>
        </w:tabs>
        <w:ind w:left="0" w:firstLine="0"/>
        <w:jc w:val="both"/>
        <w:rPr>
          <w:rFonts w:eastAsiaTheme="minorEastAsia"/>
        </w:rPr>
      </w:pPr>
      <w:r>
        <w:rPr>
          <w:rFonts w:eastAsiaTheme="minorEastAsia"/>
        </w:rPr>
        <w:t>We prefer to use option 1 for its simplicity and also the WID indicat</w:t>
      </w:r>
      <w:r w:rsidR="003E5575">
        <w:rPr>
          <w:rFonts w:eastAsiaTheme="minorEastAsia"/>
        </w:rPr>
        <w:t>es</w:t>
      </w:r>
      <w:r>
        <w:rPr>
          <w:rFonts w:eastAsiaTheme="minorEastAsia"/>
        </w:rPr>
        <w:t xml:space="preserve"> to use CHO with target SCG as baseline.</w:t>
      </w:r>
      <w:r w:rsidR="00271633">
        <w:rPr>
          <w:rFonts w:eastAsiaTheme="minorEastAsia"/>
        </w:rPr>
        <w:t xml:space="preserve"> </w:t>
      </w:r>
      <w:r w:rsidR="00245B96">
        <w:rPr>
          <w:rFonts w:eastAsiaTheme="minorEastAsia"/>
        </w:rPr>
        <w:t>Note that the agreed baseline UE behavior also implies this RRC model.</w:t>
      </w:r>
    </w:p>
    <w:p w14:paraId="0363C96F" w14:textId="26334F6A" w:rsidR="00271633" w:rsidRDefault="00271633" w:rsidP="00EF20EF">
      <w:pPr>
        <w:pStyle w:val="Doc-text2"/>
        <w:tabs>
          <w:tab w:val="left" w:pos="340"/>
        </w:tabs>
        <w:ind w:left="0" w:firstLine="0"/>
        <w:jc w:val="both"/>
        <w:rPr>
          <w:rFonts w:eastAsiaTheme="minorEastAsia"/>
        </w:rPr>
      </w:pPr>
    </w:p>
    <w:p w14:paraId="026A0AFA" w14:textId="77777777" w:rsidR="00271633" w:rsidRDefault="00271633" w:rsidP="00E87246">
      <w:pPr>
        <w:pStyle w:val="Agreement"/>
        <w:numPr>
          <w:ilvl w:val="0"/>
          <w:numId w:val="5"/>
        </w:numPr>
        <w:tabs>
          <w:tab w:val="clear" w:pos="2070"/>
          <w:tab w:val="num" w:pos="1619"/>
        </w:tabs>
        <w:spacing w:before="0"/>
        <w:ind w:left="1616" w:hanging="357"/>
      </w:pPr>
      <w:bookmarkStart w:id="5" w:name="_Hlk134372616"/>
      <w:r w:rsidRPr="00641AED">
        <w:rPr>
          <w:highlight w:val="yellow"/>
        </w:rPr>
        <w:t>Baseline</w:t>
      </w:r>
      <w:bookmarkEnd w:id="5"/>
      <w:r w:rsidRPr="00641AED">
        <w:rPr>
          <w:highlight w:val="yellow"/>
        </w:rPr>
        <w:t>:</w:t>
      </w:r>
      <w:r>
        <w:t xml:space="preserve"> The UE waits until both CHO and CPC conditions are met (always). (furthermore, it is assumed that if needed the network can provide a complementary CHO-only configuration, to avoid failures in deployments where failure would otherwise be likely to happen).  </w:t>
      </w:r>
    </w:p>
    <w:p w14:paraId="31C58AC9" w14:textId="77777777" w:rsidR="00271633" w:rsidRDefault="00271633" w:rsidP="00EF20EF">
      <w:pPr>
        <w:pStyle w:val="Doc-text2"/>
        <w:tabs>
          <w:tab w:val="left" w:pos="340"/>
        </w:tabs>
        <w:ind w:left="0" w:firstLine="0"/>
        <w:jc w:val="both"/>
        <w:rPr>
          <w:rFonts w:eastAsiaTheme="minorEastAsia"/>
        </w:rPr>
      </w:pPr>
    </w:p>
    <w:p w14:paraId="573975C6" w14:textId="4D60D4C0" w:rsidR="00182B30" w:rsidRPr="00182B30" w:rsidRDefault="00452641" w:rsidP="00182B30">
      <w:pPr>
        <w:pStyle w:val="Doc-text2"/>
        <w:ind w:left="0" w:firstLine="0"/>
        <w:rPr>
          <w:lang w:eastAsia="en-GB"/>
        </w:rPr>
      </w:pPr>
      <w:r>
        <w:t>Therefore, we suggest to reuse same structure as Rel-17 CHO with target SCG. Note that this implies that we will multiple CHO execution command if one target PCell could be associated with multiple target PSCell.</w:t>
      </w:r>
    </w:p>
    <w:p w14:paraId="729D6AD3" w14:textId="587254FA" w:rsidR="00182B30" w:rsidRDefault="00182B30" w:rsidP="00182B30">
      <w:pPr>
        <w:pStyle w:val="Doc-text2"/>
        <w:ind w:left="0" w:firstLine="0"/>
      </w:pPr>
    </w:p>
    <w:p w14:paraId="1FDFB9DB" w14:textId="4B6FE12C" w:rsidR="0040573D" w:rsidRPr="005B778F" w:rsidRDefault="0040573D" w:rsidP="0040573D">
      <w:pPr>
        <w:pStyle w:val="Doc-text2"/>
        <w:tabs>
          <w:tab w:val="left" w:pos="340"/>
        </w:tabs>
        <w:ind w:left="0" w:firstLine="0"/>
        <w:jc w:val="both"/>
        <w:rPr>
          <w:rFonts w:cs="Arial"/>
          <w:b/>
        </w:rPr>
      </w:pPr>
      <w:r w:rsidRPr="008A29F1">
        <w:rPr>
          <w:rFonts w:cs="Arial"/>
          <w:b/>
        </w:rPr>
        <w:t xml:space="preserve">Proposal </w:t>
      </w:r>
      <w:r>
        <w:rPr>
          <w:rFonts w:cs="Arial"/>
          <w:b/>
        </w:rPr>
        <w:t xml:space="preserve">3: For CHO with candidate SCG, one </w:t>
      </w:r>
      <w:r w:rsidRPr="00E87246">
        <w:rPr>
          <w:rFonts w:cs="Arial"/>
          <w:b/>
        </w:rPr>
        <w:t>candidate target SCG configuration is included in CHO execution command</w:t>
      </w:r>
      <w:r>
        <w:rPr>
          <w:rFonts w:cs="Arial"/>
          <w:b/>
        </w:rPr>
        <w:t xml:space="preserve"> (as Rel-17 CHO with target SCG). If there are multiple candidate PSCells, multiple CHO execution commands could be </w:t>
      </w:r>
      <w:r w:rsidR="00987162">
        <w:rPr>
          <w:rFonts w:cs="Arial"/>
          <w:b/>
        </w:rPr>
        <w:t xml:space="preserve">configured </w:t>
      </w:r>
      <w:r>
        <w:rPr>
          <w:rFonts w:cs="Arial"/>
          <w:b/>
        </w:rPr>
        <w:t>for different PSCell.</w:t>
      </w:r>
    </w:p>
    <w:p w14:paraId="3532D3C3" w14:textId="16CEA2B1" w:rsidR="00E87246" w:rsidRDefault="00E87246" w:rsidP="00182B30">
      <w:pPr>
        <w:pStyle w:val="Doc-text2"/>
        <w:ind w:left="0" w:firstLine="0"/>
      </w:pPr>
    </w:p>
    <w:p w14:paraId="10442B15" w14:textId="6E801853" w:rsidR="00452641" w:rsidRDefault="00452641" w:rsidP="00351C64">
      <w:pPr>
        <w:pStyle w:val="Doc-text2"/>
        <w:ind w:left="0" w:firstLine="0"/>
        <w:jc w:val="both"/>
      </w:pPr>
      <w:r>
        <w:t xml:space="preserve">There are some </w:t>
      </w:r>
      <w:r w:rsidR="00351C64">
        <w:t>discussions</w:t>
      </w:r>
      <w:r>
        <w:t xml:space="preserve"> on execution for target PCell configuration only</w:t>
      </w:r>
      <w:r w:rsidR="00351C64">
        <w:t xml:space="preserve"> (as alternative below)</w:t>
      </w:r>
      <w:r>
        <w:t xml:space="preserve">. In our view, this </w:t>
      </w:r>
      <w:r w:rsidR="00351C64">
        <w:t>kind of partial reconfiguration bring</w:t>
      </w:r>
      <w:r>
        <w:t xml:space="preserve"> </w:t>
      </w:r>
      <w:r w:rsidR="00351C64">
        <w:t>un</w:t>
      </w:r>
      <w:r>
        <w:t xml:space="preserve">necessary </w:t>
      </w:r>
      <w:r w:rsidR="00351C64">
        <w:t xml:space="preserve">complexity. If there is a need to change PCell only, legacy CHO command (without </w:t>
      </w:r>
      <w:r w:rsidR="00ED0649">
        <w:t xml:space="preserve">candidate </w:t>
      </w:r>
      <w:r w:rsidR="00351C64">
        <w:t xml:space="preserve">SCG) could be used. Note that different PCell threshold (for execution condition) could be used for CHO with or without candidate SCG. For CHO with candidate SCG, the CHO execution condition should be easier to match compared to the one in CHO-only case. So, the UE will try to do PCell+PSCell switch first but will still do PCell change only if the stringent CHO-only condition is met.  </w:t>
      </w:r>
    </w:p>
    <w:p w14:paraId="5A1261B3" w14:textId="77777777" w:rsidR="00351C64" w:rsidRDefault="00351C64" w:rsidP="00351C64">
      <w:pPr>
        <w:pStyle w:val="Doc-text2"/>
        <w:ind w:left="0" w:firstLine="0"/>
        <w:jc w:val="both"/>
      </w:pPr>
    </w:p>
    <w:p w14:paraId="6E9680B3" w14:textId="77777777" w:rsidR="00452641" w:rsidRDefault="00452641" w:rsidP="00452641">
      <w:pPr>
        <w:pStyle w:val="Agreement"/>
        <w:numPr>
          <w:ilvl w:val="0"/>
          <w:numId w:val="5"/>
        </w:numPr>
        <w:tabs>
          <w:tab w:val="clear" w:pos="2070"/>
          <w:tab w:val="num" w:pos="1619"/>
        </w:tabs>
        <w:ind w:left="1619"/>
      </w:pPr>
      <w:r w:rsidRPr="00641AED">
        <w:rPr>
          <w:highlight w:val="yellow"/>
        </w:rPr>
        <w:t>Alternative:</w:t>
      </w:r>
      <w:r>
        <w:t xml:space="preserve"> FFS if When CHO condition is met, but CPC condition is not met, CHO execution is triggered (and somehow source SCG can be released). IF allowed in the new configuration the UE may continue evaluation of CPC/CPA conditions.</w:t>
      </w:r>
    </w:p>
    <w:p w14:paraId="270F762C" w14:textId="09A24F5F" w:rsidR="00182B30" w:rsidRDefault="00182B30" w:rsidP="00182B30">
      <w:pPr>
        <w:pStyle w:val="Doc-text2"/>
        <w:ind w:left="0" w:firstLine="0"/>
      </w:pPr>
    </w:p>
    <w:p w14:paraId="32CBA83C" w14:textId="58FDCAB5" w:rsidR="00351C64" w:rsidRDefault="00351C64" w:rsidP="00182B30">
      <w:pPr>
        <w:pStyle w:val="Doc-text2"/>
        <w:ind w:left="0" w:firstLine="0"/>
      </w:pPr>
      <w:r>
        <w:t xml:space="preserve">So, we propose to confirm that only baseline UE behavior is needed. </w:t>
      </w:r>
    </w:p>
    <w:p w14:paraId="6438B577" w14:textId="646C1141" w:rsidR="00452641" w:rsidRDefault="00452641" w:rsidP="00182B30">
      <w:pPr>
        <w:pStyle w:val="Doc-text2"/>
        <w:ind w:left="0" w:firstLine="0"/>
      </w:pPr>
    </w:p>
    <w:p w14:paraId="13BF9B01" w14:textId="048119B9" w:rsidR="00323FC9" w:rsidRDefault="00323FC9" w:rsidP="00507867">
      <w:pPr>
        <w:pStyle w:val="Doc-text2"/>
        <w:ind w:left="0" w:firstLine="0"/>
        <w:jc w:val="both"/>
        <w:rPr>
          <w:b/>
          <w:bCs/>
        </w:rPr>
      </w:pPr>
      <w:r w:rsidRPr="00323FC9">
        <w:rPr>
          <w:b/>
          <w:bCs/>
        </w:rPr>
        <w:t>Observation 1: If PCell-only switch is needed, the NW could configure the legacy CHO configuration</w:t>
      </w:r>
      <w:r w:rsidR="00507867">
        <w:rPr>
          <w:b/>
          <w:bCs/>
        </w:rPr>
        <w:t>.</w:t>
      </w:r>
      <w:r w:rsidRPr="00323FC9">
        <w:rPr>
          <w:b/>
          <w:bCs/>
        </w:rPr>
        <w:t xml:space="preserve"> </w:t>
      </w:r>
      <w:r w:rsidR="00507867">
        <w:rPr>
          <w:b/>
          <w:bCs/>
        </w:rPr>
        <w:t>D</w:t>
      </w:r>
      <w:r w:rsidR="00507867" w:rsidRPr="00507867">
        <w:rPr>
          <w:b/>
          <w:bCs/>
        </w:rPr>
        <w:t>ifferent PCell threshold (for execution condition) could be used for CHO with or without candidate SCG</w:t>
      </w:r>
      <w:r w:rsidR="00507867">
        <w:rPr>
          <w:b/>
          <w:bCs/>
        </w:rPr>
        <w:t>.</w:t>
      </w:r>
    </w:p>
    <w:p w14:paraId="42FB16E4" w14:textId="77777777" w:rsidR="00507867" w:rsidRDefault="00507867" w:rsidP="00507867">
      <w:pPr>
        <w:pStyle w:val="Doc-text2"/>
        <w:ind w:left="0" w:firstLine="0"/>
        <w:jc w:val="both"/>
      </w:pPr>
    </w:p>
    <w:p w14:paraId="7FDAB711" w14:textId="3F8EB4E1" w:rsidR="00182B30" w:rsidRPr="00323FC9" w:rsidRDefault="00182B30" w:rsidP="00323FC9">
      <w:pPr>
        <w:pStyle w:val="Doc-text2"/>
        <w:ind w:left="0" w:firstLine="0"/>
        <w:jc w:val="both"/>
        <w:rPr>
          <w:b/>
          <w:bCs/>
        </w:rPr>
      </w:pPr>
      <w:r w:rsidRPr="00323FC9">
        <w:rPr>
          <w:b/>
          <w:bCs/>
        </w:rPr>
        <w:t xml:space="preserve">Proposal </w:t>
      </w:r>
      <w:r w:rsidR="00323FC9">
        <w:rPr>
          <w:b/>
          <w:bCs/>
        </w:rPr>
        <w:t>4</w:t>
      </w:r>
      <w:r w:rsidRPr="00323FC9">
        <w:rPr>
          <w:b/>
          <w:bCs/>
        </w:rPr>
        <w:t xml:space="preserve">: </w:t>
      </w:r>
      <w:r w:rsidR="00323FC9">
        <w:rPr>
          <w:rFonts w:cs="Arial"/>
          <w:b/>
        </w:rPr>
        <w:t xml:space="preserve">For CHO with candidate SCG, </w:t>
      </w:r>
      <w:r w:rsidR="00323FC9">
        <w:rPr>
          <w:b/>
          <w:bCs/>
        </w:rPr>
        <w:t>RAN2 confirms that only b</w:t>
      </w:r>
      <w:r w:rsidR="00323FC9" w:rsidRPr="00323FC9">
        <w:rPr>
          <w:b/>
          <w:bCs/>
        </w:rPr>
        <w:t>aseline</w:t>
      </w:r>
      <w:r w:rsidR="00323FC9">
        <w:rPr>
          <w:b/>
          <w:bCs/>
        </w:rPr>
        <w:t xml:space="preserve"> UE behavior is needed (i.e. </w:t>
      </w:r>
      <w:r w:rsidR="00323FC9" w:rsidRPr="00323FC9">
        <w:rPr>
          <w:b/>
          <w:bCs/>
        </w:rPr>
        <w:t>UE waits until both CHO and CPC conditions are met</w:t>
      </w:r>
      <w:r w:rsidR="00323FC9">
        <w:rPr>
          <w:b/>
          <w:bCs/>
        </w:rPr>
        <w:t xml:space="preserve">). </w:t>
      </w:r>
    </w:p>
    <w:p w14:paraId="23CE6CD5" w14:textId="77777777" w:rsidR="002D3279" w:rsidRPr="00596341" w:rsidRDefault="002D3279" w:rsidP="00AC3561">
      <w:pPr>
        <w:pStyle w:val="Doc-text2"/>
        <w:tabs>
          <w:tab w:val="left" w:pos="340"/>
        </w:tabs>
        <w:ind w:left="0" w:firstLine="0"/>
        <w:jc w:val="both"/>
        <w:rPr>
          <w:rFonts w:eastAsia="Times New Roman" w:cs="Arial"/>
          <w:b/>
          <w:szCs w:val="20"/>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244322A8" w:rsidR="00DE28E0" w:rsidRDefault="00DE28E0" w:rsidP="00DE28E0">
      <w:pPr>
        <w:pStyle w:val="Doc-text2"/>
        <w:tabs>
          <w:tab w:val="left" w:pos="340"/>
        </w:tabs>
        <w:ind w:left="0" w:firstLine="0"/>
        <w:jc w:val="both"/>
        <w:rPr>
          <w:b/>
        </w:rPr>
      </w:pPr>
      <w:r>
        <w:rPr>
          <w:rFonts w:cs="Arial"/>
        </w:rPr>
        <w:t>Base</w:t>
      </w:r>
      <w:r w:rsidR="00B22438">
        <w:rPr>
          <w:rFonts w:cs="Arial"/>
        </w:rPr>
        <w:t>d</w:t>
      </w:r>
      <w:r>
        <w:rPr>
          <w:rFonts w:cs="Arial"/>
        </w:rPr>
        <w:t xml:space="preserve"> on the discussion in section 2, we</w:t>
      </w:r>
      <w:r w:rsidR="00BD0E29">
        <w:rPr>
          <w:rFonts w:cs="Arial"/>
        </w:rPr>
        <w:t xml:space="preserve"> have following observation and proposal.</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2B44B936" w14:textId="77777777" w:rsidR="00E46806" w:rsidRPr="005B778F" w:rsidRDefault="00E46806" w:rsidP="00ED0649">
      <w:pPr>
        <w:pStyle w:val="Doc-text2"/>
        <w:tabs>
          <w:tab w:val="left" w:pos="340"/>
        </w:tabs>
        <w:ind w:left="0" w:firstLine="0"/>
        <w:jc w:val="both"/>
        <w:rPr>
          <w:rFonts w:cs="Arial"/>
          <w:b/>
        </w:rPr>
      </w:pPr>
      <w:r w:rsidRPr="008A29F1">
        <w:rPr>
          <w:rFonts w:cs="Arial"/>
          <w:b/>
        </w:rPr>
        <w:t xml:space="preserve">Proposal </w:t>
      </w:r>
      <w:r>
        <w:rPr>
          <w:rFonts w:cs="Arial"/>
          <w:b/>
        </w:rPr>
        <w:t xml:space="preserve">1: For CHO with candidate SCG, the execution condition is associated with MN and/or SN configured measurement ID(s) in current conflagration. The measurement configuration inside CHO or CPC execution command container is NOT used for evaluation. </w:t>
      </w:r>
    </w:p>
    <w:p w14:paraId="616CA204" w14:textId="7B018377" w:rsidR="00862955" w:rsidRDefault="00862955" w:rsidP="00ED0649">
      <w:pPr>
        <w:pStyle w:val="Doc-text2"/>
        <w:tabs>
          <w:tab w:val="left" w:pos="340"/>
        </w:tabs>
        <w:ind w:left="0" w:firstLine="0"/>
        <w:jc w:val="both"/>
        <w:rPr>
          <w:rFonts w:cs="Arial"/>
          <w:b/>
        </w:rPr>
      </w:pPr>
    </w:p>
    <w:p w14:paraId="76C77C39" w14:textId="77777777" w:rsidR="00E46806" w:rsidRPr="005B778F" w:rsidRDefault="00E46806" w:rsidP="00ED0649">
      <w:pPr>
        <w:pStyle w:val="Doc-text2"/>
        <w:tabs>
          <w:tab w:val="left" w:pos="340"/>
        </w:tabs>
        <w:ind w:left="0" w:firstLine="0"/>
        <w:jc w:val="both"/>
        <w:rPr>
          <w:rFonts w:cs="Arial"/>
          <w:b/>
        </w:rPr>
      </w:pPr>
      <w:r w:rsidRPr="008A29F1">
        <w:rPr>
          <w:rFonts w:cs="Arial"/>
          <w:b/>
        </w:rPr>
        <w:t xml:space="preserve">Proposal </w:t>
      </w:r>
      <w:r>
        <w:rPr>
          <w:rFonts w:cs="Arial"/>
          <w:b/>
        </w:rPr>
        <w:t>2: For CHO with candidate SCG, the execution condition could be associated with more one measurement ID(s), where some measurement ID are linked to candidate PCell and some are linked to candidate PSCell. FFS maximum number of associated measurement IDs.</w:t>
      </w:r>
    </w:p>
    <w:p w14:paraId="041D6565" w14:textId="62E0E6CC" w:rsidR="00E46806" w:rsidRDefault="00E46806" w:rsidP="00ED0649">
      <w:pPr>
        <w:pStyle w:val="Doc-text2"/>
        <w:tabs>
          <w:tab w:val="left" w:pos="340"/>
        </w:tabs>
        <w:ind w:left="0" w:firstLine="0"/>
        <w:jc w:val="both"/>
        <w:rPr>
          <w:rFonts w:cs="Arial"/>
          <w:b/>
        </w:rPr>
      </w:pPr>
    </w:p>
    <w:p w14:paraId="37ADD23A" w14:textId="3FC999A0" w:rsidR="00BD0E29" w:rsidRPr="005B778F" w:rsidRDefault="00BD0E29" w:rsidP="00ED0649">
      <w:pPr>
        <w:pStyle w:val="Doc-text2"/>
        <w:tabs>
          <w:tab w:val="left" w:pos="340"/>
        </w:tabs>
        <w:ind w:left="0" w:firstLine="0"/>
        <w:jc w:val="both"/>
        <w:rPr>
          <w:rFonts w:cs="Arial"/>
          <w:b/>
        </w:rPr>
      </w:pPr>
      <w:r w:rsidRPr="008A29F1">
        <w:rPr>
          <w:rFonts w:cs="Arial"/>
          <w:b/>
        </w:rPr>
        <w:t xml:space="preserve">Proposal </w:t>
      </w:r>
      <w:r>
        <w:rPr>
          <w:rFonts w:cs="Arial"/>
          <w:b/>
        </w:rPr>
        <w:t xml:space="preserve">3: For CHO with candidate SCG, one </w:t>
      </w:r>
      <w:r w:rsidRPr="00E87246">
        <w:rPr>
          <w:rFonts w:cs="Arial"/>
          <w:b/>
        </w:rPr>
        <w:t>candidate target SCG configuration is included in CHO execution command</w:t>
      </w:r>
      <w:r>
        <w:rPr>
          <w:rFonts w:cs="Arial"/>
          <w:b/>
        </w:rPr>
        <w:t xml:space="preserve"> (as Rel-17 CHO with target SCG). If there are multiple candidate PSCells, multiple CHO execution command</w:t>
      </w:r>
      <w:r w:rsidR="0040573D">
        <w:rPr>
          <w:rFonts w:cs="Arial"/>
          <w:b/>
        </w:rPr>
        <w:t>s</w:t>
      </w:r>
      <w:r>
        <w:rPr>
          <w:rFonts w:cs="Arial"/>
          <w:b/>
        </w:rPr>
        <w:t xml:space="preserve"> could be </w:t>
      </w:r>
      <w:r w:rsidR="00987162">
        <w:rPr>
          <w:rFonts w:cs="Arial"/>
          <w:b/>
        </w:rPr>
        <w:t>configured</w:t>
      </w:r>
      <w:r>
        <w:rPr>
          <w:rFonts w:cs="Arial"/>
          <w:b/>
        </w:rPr>
        <w:t xml:space="preserve"> for different PSCell.</w:t>
      </w:r>
    </w:p>
    <w:p w14:paraId="662C7574" w14:textId="2D8A81F8" w:rsidR="00BD0E29" w:rsidRDefault="00BD0E29" w:rsidP="00ED0649">
      <w:pPr>
        <w:pStyle w:val="Doc-text2"/>
        <w:ind w:left="0" w:firstLine="0"/>
        <w:jc w:val="both"/>
      </w:pPr>
    </w:p>
    <w:p w14:paraId="25C7FC2D" w14:textId="77777777" w:rsidR="00FC6445" w:rsidRDefault="00FC6445" w:rsidP="00FC6445">
      <w:pPr>
        <w:pStyle w:val="Doc-text2"/>
        <w:ind w:left="0" w:firstLine="0"/>
        <w:jc w:val="both"/>
        <w:rPr>
          <w:b/>
          <w:bCs/>
        </w:rPr>
      </w:pPr>
      <w:r w:rsidRPr="00323FC9">
        <w:rPr>
          <w:b/>
          <w:bCs/>
        </w:rPr>
        <w:t>Observation 1: If PCell-only switch is needed, the NW could configure the legacy CHO configuration</w:t>
      </w:r>
      <w:r>
        <w:rPr>
          <w:b/>
          <w:bCs/>
        </w:rPr>
        <w:t>.</w:t>
      </w:r>
      <w:r w:rsidRPr="00323FC9">
        <w:rPr>
          <w:b/>
          <w:bCs/>
        </w:rPr>
        <w:t xml:space="preserve"> </w:t>
      </w:r>
      <w:r>
        <w:rPr>
          <w:b/>
          <w:bCs/>
        </w:rPr>
        <w:t>D</w:t>
      </w:r>
      <w:r w:rsidRPr="00507867">
        <w:rPr>
          <w:b/>
          <w:bCs/>
        </w:rPr>
        <w:t>ifferent PCell threshold (for execution condition) could be used for CHO with or without candidate SCG</w:t>
      </w:r>
      <w:r>
        <w:rPr>
          <w:b/>
          <w:bCs/>
        </w:rPr>
        <w:t>.</w:t>
      </w:r>
    </w:p>
    <w:p w14:paraId="29B5A836" w14:textId="77777777" w:rsidR="00ED0649" w:rsidRDefault="00ED0649" w:rsidP="00ED0649">
      <w:pPr>
        <w:pStyle w:val="Doc-text2"/>
        <w:ind w:left="0" w:firstLine="0"/>
        <w:jc w:val="both"/>
      </w:pPr>
    </w:p>
    <w:p w14:paraId="52A2C1D9" w14:textId="77777777" w:rsidR="00BD0E29" w:rsidRPr="00323FC9" w:rsidRDefault="00BD0E29" w:rsidP="00ED0649">
      <w:pPr>
        <w:pStyle w:val="Doc-text2"/>
        <w:ind w:left="0" w:firstLine="0"/>
        <w:jc w:val="both"/>
        <w:rPr>
          <w:b/>
          <w:bCs/>
        </w:rPr>
      </w:pPr>
      <w:r w:rsidRPr="00323FC9">
        <w:rPr>
          <w:b/>
          <w:bCs/>
        </w:rPr>
        <w:lastRenderedPageBreak/>
        <w:t xml:space="preserve">Proposal </w:t>
      </w:r>
      <w:r>
        <w:rPr>
          <w:b/>
          <w:bCs/>
        </w:rPr>
        <w:t>4</w:t>
      </w:r>
      <w:r w:rsidRPr="00323FC9">
        <w:rPr>
          <w:b/>
          <w:bCs/>
        </w:rPr>
        <w:t xml:space="preserve">: </w:t>
      </w:r>
      <w:r>
        <w:rPr>
          <w:rFonts w:cs="Arial"/>
          <w:b/>
        </w:rPr>
        <w:t xml:space="preserve">For CHO with candidate SCG, </w:t>
      </w:r>
      <w:r>
        <w:rPr>
          <w:b/>
          <w:bCs/>
        </w:rPr>
        <w:t>RAN2 confirms that only b</w:t>
      </w:r>
      <w:r w:rsidRPr="00323FC9">
        <w:rPr>
          <w:b/>
          <w:bCs/>
        </w:rPr>
        <w:t>aseline</w:t>
      </w:r>
      <w:r>
        <w:rPr>
          <w:b/>
          <w:bCs/>
        </w:rPr>
        <w:t xml:space="preserve"> UE behavior is needed (i.e. </w:t>
      </w:r>
      <w:r w:rsidRPr="00323FC9">
        <w:rPr>
          <w:b/>
          <w:bCs/>
        </w:rPr>
        <w:t>UE waits until both CHO and CPC conditions are met</w:t>
      </w:r>
      <w:r>
        <w:rPr>
          <w:b/>
          <w:bCs/>
        </w:rPr>
        <w:t xml:space="preserve">). </w:t>
      </w:r>
    </w:p>
    <w:p w14:paraId="350B5A85" w14:textId="77777777" w:rsidR="00E46806" w:rsidRPr="000F646E" w:rsidRDefault="00E46806" w:rsidP="00862955">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1CC7E988" w14:textId="66486338" w:rsidR="00CD6AFF"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B41D63" w:rsidRPr="00B41D63">
        <w:rPr>
          <w:rFonts w:ascii="Arial" w:hAnsi="Arial" w:cs="Arial"/>
          <w:lang w:eastAsia="ko-KR"/>
        </w:rPr>
        <w:t>RP-222332</w:t>
      </w:r>
      <w:r w:rsidR="001D3C85">
        <w:rPr>
          <w:rFonts w:ascii="Arial" w:hAnsi="Arial" w:cs="Arial"/>
          <w:lang w:eastAsia="ko-KR"/>
        </w:rPr>
        <w:t>, “</w:t>
      </w:r>
      <w:r w:rsidR="001D3C85" w:rsidRPr="001D3C85">
        <w:rPr>
          <w:rFonts w:ascii="Arial" w:hAnsi="Arial" w:cs="Arial"/>
          <w:lang w:eastAsia="ko-KR"/>
        </w:rPr>
        <w:t>Revised WID on Further NR mobility enhancements</w:t>
      </w:r>
      <w:r w:rsidR="001D3C85">
        <w:rPr>
          <w:rFonts w:ascii="Arial" w:hAnsi="Arial" w:cs="Arial"/>
          <w:lang w:eastAsia="ko-KR"/>
        </w:rPr>
        <w:t>”</w:t>
      </w:r>
      <w:r w:rsidR="00707C97">
        <w:rPr>
          <w:rFonts w:ascii="Arial" w:hAnsi="Arial" w:cs="Arial"/>
          <w:lang w:eastAsia="ko-KR"/>
        </w:rPr>
        <w:t>, MediaTek</w:t>
      </w:r>
    </w:p>
    <w:p w14:paraId="483FD7D9" w14:textId="29682D66" w:rsidR="00CD6AFF" w:rsidRDefault="00CD6AFF" w:rsidP="00846B3D">
      <w:pPr>
        <w:spacing w:after="0"/>
        <w:rPr>
          <w:rFonts w:ascii="Arial" w:hAnsi="Arial" w:cs="Arial"/>
          <w:lang w:eastAsia="ko-KR"/>
        </w:rPr>
      </w:pPr>
    </w:p>
    <w:p w14:paraId="4DC53C51" w14:textId="48CDCF01" w:rsidR="00846B3D" w:rsidRDefault="007445C4" w:rsidP="00846B3D">
      <w:pPr>
        <w:spacing w:after="0"/>
        <w:rPr>
          <w:rFonts w:ascii="Arial" w:hAnsi="Arial" w:cs="Arial"/>
          <w:lang w:eastAsia="ko-KR"/>
        </w:rPr>
        <w:sectPr w:rsidR="00846B3D" w:rsidSect="0007478B">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pPr>
      <w:r>
        <w:rPr>
          <w:rFonts w:ascii="Arial" w:hAnsi="Arial" w:cs="Arial"/>
          <w:lang w:eastAsia="ko-KR"/>
        </w:rPr>
        <w:t xml:space="preserve"> </w:t>
      </w:r>
    </w:p>
    <w:p w14:paraId="1CA25D7A" w14:textId="229BCAF1" w:rsidR="00846B3D" w:rsidRDefault="00846B3D" w:rsidP="00846B3D">
      <w:pPr>
        <w:spacing w:after="0"/>
        <w:rPr>
          <w:rFonts w:ascii="Arial" w:hAnsi="Arial" w:cs="Arial"/>
          <w:lang w:eastAsia="ko-KR"/>
        </w:rPr>
      </w:pPr>
    </w:p>
    <w:p w14:paraId="09439E0C" w14:textId="20468BF6" w:rsidR="00846B3D" w:rsidRDefault="00CD6AFF" w:rsidP="00846B3D">
      <w:pPr>
        <w:pStyle w:val="Heading1"/>
        <w:pBdr>
          <w:top w:val="single" w:sz="12" w:space="0" w:color="auto"/>
        </w:pBdr>
        <w:rPr>
          <w:lang w:val="en-US" w:eastAsia="ko-KR"/>
        </w:rPr>
      </w:pPr>
      <w:r>
        <w:rPr>
          <w:lang w:val="en-US" w:eastAsia="ko-KR"/>
        </w:rPr>
        <w:t xml:space="preserve">Annex: </w:t>
      </w:r>
      <w:r w:rsidR="00846B3D">
        <w:rPr>
          <w:lang w:val="en-US" w:eastAsia="ko-KR"/>
        </w:rPr>
        <w:t>Limitation on second-level conditional reconfiguration</w:t>
      </w:r>
    </w:p>
    <w:p w14:paraId="4D741024" w14:textId="77777777" w:rsidR="00941ADC" w:rsidRPr="00941ADC" w:rsidRDefault="00941ADC" w:rsidP="00941ADC">
      <w:pPr>
        <w:rPr>
          <w:lang w:val="en-US" w:eastAsia="ko-KR"/>
        </w:rPr>
      </w:pPr>
    </w:p>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01"/>
      </w:tblGrid>
      <w:tr w:rsidR="00846B3D" w:rsidRPr="00740BCD" w14:paraId="2955DC6F" w14:textId="77777777" w:rsidTr="001339C4">
        <w:trPr>
          <w:cantSplit/>
          <w:tblHeader/>
        </w:trPr>
        <w:tc>
          <w:tcPr>
            <w:tcW w:w="10201" w:type="dxa"/>
            <w:tcBorders>
              <w:top w:val="single" w:sz="4" w:space="0" w:color="808080"/>
              <w:left w:val="single" w:sz="4" w:space="0" w:color="808080"/>
              <w:bottom w:val="single" w:sz="4" w:space="0" w:color="808080"/>
              <w:right w:val="single" w:sz="4" w:space="0" w:color="808080"/>
            </w:tcBorders>
            <w:hideMark/>
          </w:tcPr>
          <w:p w14:paraId="0212E132" w14:textId="77777777" w:rsidR="00846B3D" w:rsidRPr="00740BCD" w:rsidRDefault="00846B3D" w:rsidP="001339C4">
            <w:pPr>
              <w:pStyle w:val="TAH"/>
              <w:rPr>
                <w:lang w:eastAsia="en-GB"/>
              </w:rPr>
            </w:pPr>
            <w:r w:rsidRPr="00740BCD">
              <w:rPr>
                <w:i/>
                <w:noProof/>
                <w:lang w:eastAsia="en-GB"/>
              </w:rPr>
              <w:t xml:space="preserve">CondReconfigToAddMod </w:t>
            </w:r>
            <w:r w:rsidRPr="00740BCD">
              <w:rPr>
                <w:iCs/>
                <w:noProof/>
                <w:lang w:eastAsia="en-GB"/>
              </w:rPr>
              <w:t>field descriptions</w:t>
            </w:r>
          </w:p>
        </w:tc>
      </w:tr>
      <w:tr w:rsidR="00846B3D" w:rsidRPr="00740BCD" w14:paraId="0A795BD5" w14:textId="77777777" w:rsidTr="001339C4">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5DF65AAD" w14:textId="77777777" w:rsidR="00846B3D" w:rsidRPr="00740BCD" w:rsidRDefault="00846B3D" w:rsidP="001339C4">
            <w:pPr>
              <w:pStyle w:val="TAL"/>
              <w:rPr>
                <w:lang w:eastAsia="sv-SE"/>
              </w:rPr>
            </w:pPr>
            <w:r w:rsidRPr="00740BCD">
              <w:rPr>
                <w:b/>
                <w:bCs/>
                <w:i/>
                <w:noProof/>
                <w:lang w:eastAsia="en-GB"/>
              </w:rPr>
              <w:t>condRRCReconfig</w:t>
            </w:r>
          </w:p>
          <w:p w14:paraId="4F019336" w14:textId="77777777" w:rsidR="00846B3D" w:rsidRPr="00740BCD" w:rsidRDefault="00846B3D" w:rsidP="001339C4">
            <w:pPr>
              <w:pStyle w:val="TAL"/>
              <w:rPr>
                <w:b/>
                <w:bCs/>
                <w:i/>
                <w:noProof/>
                <w:lang w:eastAsia="en-GB"/>
              </w:rPr>
            </w:pPr>
            <w:r w:rsidRPr="00740BCD">
              <w:rPr>
                <w:lang w:eastAsia="sv-SE"/>
              </w:rPr>
              <w:t xml:space="preserve">The </w:t>
            </w:r>
            <w:r w:rsidRPr="00740BCD">
              <w:rPr>
                <w:i/>
                <w:lang w:eastAsia="sv-SE"/>
              </w:rPr>
              <w:t>RRCReconfiguration</w:t>
            </w:r>
            <w:r w:rsidRPr="00740BCD">
              <w:rPr>
                <w:lang w:eastAsia="sv-SE"/>
              </w:rPr>
              <w:t xml:space="preserve"> message to be applied when the condition(s) are fulfilled. </w:t>
            </w:r>
            <w:r w:rsidRPr="00740BCD">
              <w:t xml:space="preserve">The </w:t>
            </w:r>
            <w:r w:rsidRPr="00740BCD">
              <w:rPr>
                <w:i/>
              </w:rPr>
              <w:t>RRCReconfiguration</w:t>
            </w:r>
            <w:r w:rsidRPr="00740BCD">
              <w:t xml:space="preserve"> message contained in </w:t>
            </w:r>
            <w:r w:rsidRPr="00740BCD">
              <w:rPr>
                <w:i/>
                <w:iCs/>
              </w:rPr>
              <w:t>condRRCReconfig</w:t>
            </w:r>
            <w:r w:rsidRPr="00740BCD">
              <w:t xml:space="preserve"> </w:t>
            </w:r>
            <w:r w:rsidRPr="00996E6A">
              <w:rPr>
                <w:highlight w:val="yellow"/>
              </w:rPr>
              <w:t xml:space="preserve">cannot contain the field </w:t>
            </w:r>
            <w:r w:rsidRPr="00996E6A">
              <w:rPr>
                <w:i/>
                <w:iCs/>
                <w:highlight w:val="yellow"/>
              </w:rPr>
              <w:t>conditionalReconfiguration</w:t>
            </w:r>
            <w:r w:rsidRPr="00740BCD">
              <w:rPr>
                <w:szCs w:val="18"/>
              </w:rPr>
              <w:t xml:space="preserve"> </w:t>
            </w:r>
            <w:r>
              <w:rPr>
                <w:szCs w:val="18"/>
              </w:rPr>
              <w:t xml:space="preserve">or </w:t>
            </w:r>
            <w:r w:rsidRPr="00740BCD">
              <w:rPr>
                <w:szCs w:val="18"/>
              </w:rPr>
              <w:t>the field</w:t>
            </w:r>
            <w:r w:rsidRPr="00740BCD">
              <w:rPr>
                <w:i/>
                <w:iCs/>
                <w:szCs w:val="18"/>
              </w:rPr>
              <w:t xml:space="preserve"> daps-Config</w:t>
            </w:r>
            <w:r w:rsidRPr="00740BCD">
              <w:t>.</w:t>
            </w:r>
            <w:r>
              <w:rPr>
                <w:iCs/>
              </w:rPr>
              <w:t xml:space="preserve"> For CPA and for CPC, the </w:t>
            </w:r>
            <w:r>
              <w:rPr>
                <w:i/>
                <w:iCs/>
              </w:rPr>
              <w:t>RRCReconfiguration</w:t>
            </w:r>
            <w:r>
              <w:rPr>
                <w:iCs/>
              </w:rPr>
              <w:t xml:space="preserve"> message contained in </w:t>
            </w:r>
            <w:r>
              <w:rPr>
                <w:i/>
                <w:iCs/>
              </w:rPr>
              <w:t>condRRCReconfig</w:t>
            </w:r>
            <w:r>
              <w:rPr>
                <w:iCs/>
              </w:rPr>
              <w:t xml:space="preserve"> cannot contain the field </w:t>
            </w:r>
            <w:r>
              <w:rPr>
                <w:i/>
                <w:iCs/>
              </w:rPr>
              <w:t>scg-State</w:t>
            </w:r>
            <w:r>
              <w:rPr>
                <w:iCs/>
              </w:rPr>
              <w:t>.</w:t>
            </w:r>
          </w:p>
        </w:tc>
      </w:tr>
    </w:tbl>
    <w:p w14:paraId="53972D61" w14:textId="77777777" w:rsidR="00CD6AFF" w:rsidRDefault="00CD6AFF" w:rsidP="00CD6AFF">
      <w:pPr>
        <w:pStyle w:val="B1"/>
        <w:ind w:left="0" w:firstLine="0"/>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201E" w14:textId="77777777" w:rsidR="004E6E90" w:rsidRDefault="004E6E90">
      <w:r>
        <w:separator/>
      </w:r>
    </w:p>
  </w:endnote>
  <w:endnote w:type="continuationSeparator" w:id="0">
    <w:p w14:paraId="73B988E4" w14:textId="77777777" w:rsidR="004E6E90" w:rsidRDefault="004E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CB5F" w14:textId="77777777" w:rsidR="00690D29" w:rsidRDefault="00690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13D7" w14:textId="77777777" w:rsidR="00690D29" w:rsidRDefault="00690D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9D73" w14:textId="77777777" w:rsidR="00690D29" w:rsidRDefault="00690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CD70" w14:textId="77777777" w:rsidR="004E6E90" w:rsidRDefault="004E6E90">
      <w:r>
        <w:separator/>
      </w:r>
    </w:p>
  </w:footnote>
  <w:footnote w:type="continuationSeparator" w:id="0">
    <w:p w14:paraId="13D14579" w14:textId="77777777" w:rsidR="004E6E90" w:rsidRDefault="004E6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7280B" w14:textId="77777777" w:rsidR="00690D29" w:rsidRDefault="00690D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7705E" w14:textId="77777777" w:rsidR="00690D29" w:rsidRDefault="00690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95D2D" w14:textId="77777777" w:rsidR="00690D29" w:rsidRDefault="00690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3ED7"/>
    <w:multiLevelType w:val="hybridMultilevel"/>
    <w:tmpl w:val="DCD2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8172A5"/>
    <w:multiLevelType w:val="hybridMultilevel"/>
    <w:tmpl w:val="D73A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726BD"/>
    <w:multiLevelType w:val="hybridMultilevel"/>
    <w:tmpl w:val="D2C8F9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403C4"/>
    <w:multiLevelType w:val="hybridMultilevel"/>
    <w:tmpl w:val="0DD035B8"/>
    <w:lvl w:ilvl="0" w:tplc="5A5615A8">
      <w:start w:val="4"/>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C6E34"/>
    <w:multiLevelType w:val="hybridMultilevel"/>
    <w:tmpl w:val="41AA7F5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12"/>
  </w:num>
  <w:num w:numId="6">
    <w:abstractNumId w:val="8"/>
  </w:num>
  <w:num w:numId="7">
    <w:abstractNumId w:val="1"/>
  </w:num>
  <w:num w:numId="8">
    <w:abstractNumId w:val="11"/>
  </w:num>
  <w:num w:numId="9">
    <w:abstractNumId w:val="7"/>
  </w:num>
  <w:num w:numId="10">
    <w:abstractNumId w:val="5"/>
  </w:num>
  <w:num w:numId="11">
    <w:abstractNumId w:val="12"/>
  </w:num>
  <w:num w:numId="12">
    <w:abstractNumId w:val="10"/>
  </w:num>
  <w:num w:numId="13">
    <w:abstractNumId w:val="0"/>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2DD7"/>
    <w:rsid w:val="000039DB"/>
    <w:rsid w:val="00003B68"/>
    <w:rsid w:val="00004632"/>
    <w:rsid w:val="00004859"/>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E4B"/>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4A"/>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4CA2"/>
    <w:rsid w:val="00095608"/>
    <w:rsid w:val="0009580B"/>
    <w:rsid w:val="00096800"/>
    <w:rsid w:val="00096CA7"/>
    <w:rsid w:val="000970D2"/>
    <w:rsid w:val="00097526"/>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43C"/>
    <w:rsid w:val="000C5C9F"/>
    <w:rsid w:val="000C6598"/>
    <w:rsid w:val="000C6BFC"/>
    <w:rsid w:val="000C6E8D"/>
    <w:rsid w:val="000C7189"/>
    <w:rsid w:val="000C7C43"/>
    <w:rsid w:val="000D0AA6"/>
    <w:rsid w:val="000D0C5D"/>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219A"/>
    <w:rsid w:val="000F2FFF"/>
    <w:rsid w:val="000F339D"/>
    <w:rsid w:val="000F411B"/>
    <w:rsid w:val="000F42A7"/>
    <w:rsid w:val="000F467F"/>
    <w:rsid w:val="000F4EC7"/>
    <w:rsid w:val="000F51F6"/>
    <w:rsid w:val="000F53AA"/>
    <w:rsid w:val="000F58F6"/>
    <w:rsid w:val="000F5DEC"/>
    <w:rsid w:val="000F646E"/>
    <w:rsid w:val="000F6927"/>
    <w:rsid w:val="000F7C88"/>
    <w:rsid w:val="0010160B"/>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09DD"/>
    <w:rsid w:val="001110C6"/>
    <w:rsid w:val="00111BF5"/>
    <w:rsid w:val="00111CF7"/>
    <w:rsid w:val="00112115"/>
    <w:rsid w:val="001121F3"/>
    <w:rsid w:val="00112CCC"/>
    <w:rsid w:val="0011355B"/>
    <w:rsid w:val="0011381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68F"/>
    <w:rsid w:val="00131DAB"/>
    <w:rsid w:val="00131DF4"/>
    <w:rsid w:val="0013385F"/>
    <w:rsid w:val="00134D49"/>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5CDA"/>
    <w:rsid w:val="00165EE5"/>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20EE"/>
    <w:rsid w:val="00182B30"/>
    <w:rsid w:val="001830D4"/>
    <w:rsid w:val="00183903"/>
    <w:rsid w:val="00183E20"/>
    <w:rsid w:val="00184151"/>
    <w:rsid w:val="001848AF"/>
    <w:rsid w:val="00184D44"/>
    <w:rsid w:val="00184F44"/>
    <w:rsid w:val="00185AA3"/>
    <w:rsid w:val="00186027"/>
    <w:rsid w:val="001861C3"/>
    <w:rsid w:val="001862B8"/>
    <w:rsid w:val="00186E58"/>
    <w:rsid w:val="00186F82"/>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144"/>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82"/>
    <w:rsid w:val="001F56F1"/>
    <w:rsid w:val="001F5C43"/>
    <w:rsid w:val="001F63E0"/>
    <w:rsid w:val="001F6508"/>
    <w:rsid w:val="001F67A2"/>
    <w:rsid w:val="001F7559"/>
    <w:rsid w:val="001F7C6C"/>
    <w:rsid w:val="002000A7"/>
    <w:rsid w:val="00200246"/>
    <w:rsid w:val="00200270"/>
    <w:rsid w:val="0020113E"/>
    <w:rsid w:val="0020265E"/>
    <w:rsid w:val="002030CF"/>
    <w:rsid w:val="00203ECF"/>
    <w:rsid w:val="00203F3C"/>
    <w:rsid w:val="00204404"/>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6BD"/>
    <w:rsid w:val="0024499A"/>
    <w:rsid w:val="00244CE9"/>
    <w:rsid w:val="002458B2"/>
    <w:rsid w:val="00245B96"/>
    <w:rsid w:val="00245C83"/>
    <w:rsid w:val="002460C7"/>
    <w:rsid w:val="00246213"/>
    <w:rsid w:val="00246693"/>
    <w:rsid w:val="00246EED"/>
    <w:rsid w:val="00250468"/>
    <w:rsid w:val="00250C5B"/>
    <w:rsid w:val="00250CCE"/>
    <w:rsid w:val="00251205"/>
    <w:rsid w:val="00251AF4"/>
    <w:rsid w:val="00251BB1"/>
    <w:rsid w:val="00252368"/>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3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523"/>
    <w:rsid w:val="00304FA9"/>
    <w:rsid w:val="0030580E"/>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58DE"/>
    <w:rsid w:val="00316B20"/>
    <w:rsid w:val="003176AE"/>
    <w:rsid w:val="003176C4"/>
    <w:rsid w:val="003206A0"/>
    <w:rsid w:val="00320FDF"/>
    <w:rsid w:val="0032189A"/>
    <w:rsid w:val="00322489"/>
    <w:rsid w:val="003225AD"/>
    <w:rsid w:val="00322914"/>
    <w:rsid w:val="003230BD"/>
    <w:rsid w:val="0032385F"/>
    <w:rsid w:val="00323FC9"/>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1C64"/>
    <w:rsid w:val="00352E0B"/>
    <w:rsid w:val="00354116"/>
    <w:rsid w:val="003545DC"/>
    <w:rsid w:val="003552BF"/>
    <w:rsid w:val="00355BEA"/>
    <w:rsid w:val="003560A2"/>
    <w:rsid w:val="003568B6"/>
    <w:rsid w:val="00356F32"/>
    <w:rsid w:val="0036039F"/>
    <w:rsid w:val="003606F5"/>
    <w:rsid w:val="00360916"/>
    <w:rsid w:val="0036262E"/>
    <w:rsid w:val="00362B3C"/>
    <w:rsid w:val="00362EE8"/>
    <w:rsid w:val="00363051"/>
    <w:rsid w:val="00363B98"/>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3AE0"/>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1E72"/>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3D"/>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1A0E"/>
    <w:rsid w:val="00431C59"/>
    <w:rsid w:val="0043200D"/>
    <w:rsid w:val="0043454C"/>
    <w:rsid w:val="0043576A"/>
    <w:rsid w:val="004371D8"/>
    <w:rsid w:val="004406BC"/>
    <w:rsid w:val="004423FA"/>
    <w:rsid w:val="004435E2"/>
    <w:rsid w:val="00444939"/>
    <w:rsid w:val="00444E7E"/>
    <w:rsid w:val="00446A61"/>
    <w:rsid w:val="00446BC2"/>
    <w:rsid w:val="00447317"/>
    <w:rsid w:val="00447436"/>
    <w:rsid w:val="00450FCD"/>
    <w:rsid w:val="00451D52"/>
    <w:rsid w:val="004524C8"/>
    <w:rsid w:val="00452641"/>
    <w:rsid w:val="00452B50"/>
    <w:rsid w:val="00452FA4"/>
    <w:rsid w:val="0045306C"/>
    <w:rsid w:val="00453508"/>
    <w:rsid w:val="00454A01"/>
    <w:rsid w:val="00454A24"/>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6"/>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431"/>
    <w:rsid w:val="004B773B"/>
    <w:rsid w:val="004B7810"/>
    <w:rsid w:val="004B7BB4"/>
    <w:rsid w:val="004C08D5"/>
    <w:rsid w:val="004C1035"/>
    <w:rsid w:val="004C18D2"/>
    <w:rsid w:val="004C19F0"/>
    <w:rsid w:val="004C2583"/>
    <w:rsid w:val="004C2FD4"/>
    <w:rsid w:val="004C36F7"/>
    <w:rsid w:val="004C38AE"/>
    <w:rsid w:val="004C46E6"/>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8D9"/>
    <w:rsid w:val="004E0961"/>
    <w:rsid w:val="004E1201"/>
    <w:rsid w:val="004E18EC"/>
    <w:rsid w:val="004E23D5"/>
    <w:rsid w:val="004E2A9D"/>
    <w:rsid w:val="004E3C84"/>
    <w:rsid w:val="004E5771"/>
    <w:rsid w:val="004E62E9"/>
    <w:rsid w:val="004E6E90"/>
    <w:rsid w:val="004F0227"/>
    <w:rsid w:val="004F0DA0"/>
    <w:rsid w:val="004F153C"/>
    <w:rsid w:val="004F191A"/>
    <w:rsid w:val="004F216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867"/>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524"/>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B18"/>
    <w:rsid w:val="00540F93"/>
    <w:rsid w:val="0054171E"/>
    <w:rsid w:val="005418DB"/>
    <w:rsid w:val="00541C57"/>
    <w:rsid w:val="00542904"/>
    <w:rsid w:val="00542A72"/>
    <w:rsid w:val="0054336B"/>
    <w:rsid w:val="00543D4E"/>
    <w:rsid w:val="0054604A"/>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218"/>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341"/>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50E"/>
    <w:rsid w:val="005C6F6A"/>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870"/>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292B"/>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60C6"/>
    <w:rsid w:val="006174BE"/>
    <w:rsid w:val="006202B1"/>
    <w:rsid w:val="0062048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116"/>
    <w:rsid w:val="00634F71"/>
    <w:rsid w:val="006350C7"/>
    <w:rsid w:val="00635288"/>
    <w:rsid w:val="00635CA2"/>
    <w:rsid w:val="00635E19"/>
    <w:rsid w:val="006363F7"/>
    <w:rsid w:val="00636659"/>
    <w:rsid w:val="00636953"/>
    <w:rsid w:val="00636D53"/>
    <w:rsid w:val="0064005F"/>
    <w:rsid w:val="00640217"/>
    <w:rsid w:val="00641AED"/>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983"/>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77463"/>
    <w:rsid w:val="00680B1E"/>
    <w:rsid w:val="00680B5C"/>
    <w:rsid w:val="00681403"/>
    <w:rsid w:val="00681A7C"/>
    <w:rsid w:val="006823D5"/>
    <w:rsid w:val="00684096"/>
    <w:rsid w:val="0068436F"/>
    <w:rsid w:val="00684866"/>
    <w:rsid w:val="00684F33"/>
    <w:rsid w:val="00685318"/>
    <w:rsid w:val="0068531F"/>
    <w:rsid w:val="00685EF9"/>
    <w:rsid w:val="00686208"/>
    <w:rsid w:val="00687314"/>
    <w:rsid w:val="00687324"/>
    <w:rsid w:val="0068797A"/>
    <w:rsid w:val="00687FD6"/>
    <w:rsid w:val="00690277"/>
    <w:rsid w:val="0069085C"/>
    <w:rsid w:val="00690B96"/>
    <w:rsid w:val="00690D29"/>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1BBE"/>
    <w:rsid w:val="006B2981"/>
    <w:rsid w:val="006B3F88"/>
    <w:rsid w:val="006B42E1"/>
    <w:rsid w:val="006B577A"/>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C96"/>
    <w:rsid w:val="00703DB1"/>
    <w:rsid w:val="00704D2A"/>
    <w:rsid w:val="00705077"/>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D78"/>
    <w:rsid w:val="0074620D"/>
    <w:rsid w:val="00746C25"/>
    <w:rsid w:val="00750949"/>
    <w:rsid w:val="007515FC"/>
    <w:rsid w:val="00751ECA"/>
    <w:rsid w:val="00753406"/>
    <w:rsid w:val="00753622"/>
    <w:rsid w:val="00753EF0"/>
    <w:rsid w:val="0075461B"/>
    <w:rsid w:val="00755075"/>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EBB"/>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2BB"/>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0D4"/>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3AF"/>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90B"/>
    <w:rsid w:val="00851AC8"/>
    <w:rsid w:val="00851DC2"/>
    <w:rsid w:val="00851DFA"/>
    <w:rsid w:val="00851EA0"/>
    <w:rsid w:val="008533C4"/>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426"/>
    <w:rsid w:val="00867084"/>
    <w:rsid w:val="00867ABE"/>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8F2"/>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5015"/>
    <w:rsid w:val="00945B8C"/>
    <w:rsid w:val="00946004"/>
    <w:rsid w:val="0094627C"/>
    <w:rsid w:val="00946650"/>
    <w:rsid w:val="00946F6D"/>
    <w:rsid w:val="00946FF3"/>
    <w:rsid w:val="009552BD"/>
    <w:rsid w:val="00955380"/>
    <w:rsid w:val="00955696"/>
    <w:rsid w:val="0095570A"/>
    <w:rsid w:val="0095602D"/>
    <w:rsid w:val="0095621F"/>
    <w:rsid w:val="00956475"/>
    <w:rsid w:val="0095682D"/>
    <w:rsid w:val="00957B6F"/>
    <w:rsid w:val="00957CB7"/>
    <w:rsid w:val="00957CD3"/>
    <w:rsid w:val="00961AE7"/>
    <w:rsid w:val="00961D51"/>
    <w:rsid w:val="009639D8"/>
    <w:rsid w:val="00963AFD"/>
    <w:rsid w:val="0096412E"/>
    <w:rsid w:val="00965221"/>
    <w:rsid w:val="0096581A"/>
    <w:rsid w:val="009658CE"/>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7B6"/>
    <w:rsid w:val="0098318E"/>
    <w:rsid w:val="00983234"/>
    <w:rsid w:val="00983C79"/>
    <w:rsid w:val="0098498B"/>
    <w:rsid w:val="00985537"/>
    <w:rsid w:val="009857CC"/>
    <w:rsid w:val="00985C05"/>
    <w:rsid w:val="00986859"/>
    <w:rsid w:val="00987162"/>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A65"/>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101A"/>
    <w:rsid w:val="009C106F"/>
    <w:rsid w:val="009C11B6"/>
    <w:rsid w:val="009C129F"/>
    <w:rsid w:val="009C2047"/>
    <w:rsid w:val="009C2A56"/>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0E7E"/>
    <w:rsid w:val="00A01760"/>
    <w:rsid w:val="00A01FBD"/>
    <w:rsid w:val="00A024CC"/>
    <w:rsid w:val="00A0381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2D2"/>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E62"/>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1E7F"/>
    <w:rsid w:val="00A84041"/>
    <w:rsid w:val="00A84365"/>
    <w:rsid w:val="00A84A2A"/>
    <w:rsid w:val="00A877CF"/>
    <w:rsid w:val="00A90726"/>
    <w:rsid w:val="00A9073E"/>
    <w:rsid w:val="00A90A2A"/>
    <w:rsid w:val="00A90AFC"/>
    <w:rsid w:val="00A92401"/>
    <w:rsid w:val="00A928D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0D17"/>
    <w:rsid w:val="00AB0EB8"/>
    <w:rsid w:val="00AB107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E76"/>
    <w:rsid w:val="00AE6275"/>
    <w:rsid w:val="00AE629D"/>
    <w:rsid w:val="00AE6388"/>
    <w:rsid w:val="00AE72DE"/>
    <w:rsid w:val="00AE7311"/>
    <w:rsid w:val="00AE78AD"/>
    <w:rsid w:val="00AF07DE"/>
    <w:rsid w:val="00AF135B"/>
    <w:rsid w:val="00AF1FAF"/>
    <w:rsid w:val="00AF2DAA"/>
    <w:rsid w:val="00AF3065"/>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43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86E"/>
    <w:rsid w:val="00B32FFD"/>
    <w:rsid w:val="00B336EB"/>
    <w:rsid w:val="00B33A56"/>
    <w:rsid w:val="00B33ADA"/>
    <w:rsid w:val="00B33EFD"/>
    <w:rsid w:val="00B33F1D"/>
    <w:rsid w:val="00B34071"/>
    <w:rsid w:val="00B3414D"/>
    <w:rsid w:val="00B342DA"/>
    <w:rsid w:val="00B34A36"/>
    <w:rsid w:val="00B34A42"/>
    <w:rsid w:val="00B35334"/>
    <w:rsid w:val="00B35CD0"/>
    <w:rsid w:val="00B36C7C"/>
    <w:rsid w:val="00B37488"/>
    <w:rsid w:val="00B40474"/>
    <w:rsid w:val="00B40C58"/>
    <w:rsid w:val="00B41D63"/>
    <w:rsid w:val="00B41F4E"/>
    <w:rsid w:val="00B43B2A"/>
    <w:rsid w:val="00B43CE5"/>
    <w:rsid w:val="00B44890"/>
    <w:rsid w:val="00B44B20"/>
    <w:rsid w:val="00B44EA5"/>
    <w:rsid w:val="00B455AD"/>
    <w:rsid w:val="00B456D9"/>
    <w:rsid w:val="00B45A40"/>
    <w:rsid w:val="00B45B5D"/>
    <w:rsid w:val="00B462B2"/>
    <w:rsid w:val="00B4690B"/>
    <w:rsid w:val="00B46AF7"/>
    <w:rsid w:val="00B47ADA"/>
    <w:rsid w:val="00B5013F"/>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B0"/>
    <w:rsid w:val="00B611CD"/>
    <w:rsid w:val="00B6150C"/>
    <w:rsid w:val="00B61654"/>
    <w:rsid w:val="00B616BD"/>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18D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8F9"/>
    <w:rsid w:val="00B84247"/>
    <w:rsid w:val="00B848FF"/>
    <w:rsid w:val="00B85082"/>
    <w:rsid w:val="00B853B0"/>
    <w:rsid w:val="00B8634C"/>
    <w:rsid w:val="00B86742"/>
    <w:rsid w:val="00B86AFA"/>
    <w:rsid w:val="00B86DC0"/>
    <w:rsid w:val="00B902E7"/>
    <w:rsid w:val="00B90900"/>
    <w:rsid w:val="00B90A51"/>
    <w:rsid w:val="00B913AA"/>
    <w:rsid w:val="00B91F9B"/>
    <w:rsid w:val="00B92780"/>
    <w:rsid w:val="00B92E54"/>
    <w:rsid w:val="00B93513"/>
    <w:rsid w:val="00B936F8"/>
    <w:rsid w:val="00B93B94"/>
    <w:rsid w:val="00B93BE4"/>
    <w:rsid w:val="00B941A6"/>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E29"/>
    <w:rsid w:val="00BD1574"/>
    <w:rsid w:val="00BD200E"/>
    <w:rsid w:val="00BD2617"/>
    <w:rsid w:val="00BD279D"/>
    <w:rsid w:val="00BD2C7B"/>
    <w:rsid w:val="00BD2D85"/>
    <w:rsid w:val="00BD38B0"/>
    <w:rsid w:val="00BD3AB1"/>
    <w:rsid w:val="00BD403B"/>
    <w:rsid w:val="00BD4425"/>
    <w:rsid w:val="00BD4CC0"/>
    <w:rsid w:val="00BD4D95"/>
    <w:rsid w:val="00BD5C11"/>
    <w:rsid w:val="00BD5D39"/>
    <w:rsid w:val="00BD6AFA"/>
    <w:rsid w:val="00BD7283"/>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3FD4"/>
    <w:rsid w:val="00C04E08"/>
    <w:rsid w:val="00C058DD"/>
    <w:rsid w:val="00C1017A"/>
    <w:rsid w:val="00C10545"/>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76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66DF"/>
    <w:rsid w:val="00CB766D"/>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263"/>
    <w:rsid w:val="00CD54BF"/>
    <w:rsid w:val="00CD5BB5"/>
    <w:rsid w:val="00CD5D14"/>
    <w:rsid w:val="00CD5E10"/>
    <w:rsid w:val="00CD6564"/>
    <w:rsid w:val="00CD6AFF"/>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A1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3CB"/>
    <w:rsid w:val="00D7053B"/>
    <w:rsid w:val="00D712EA"/>
    <w:rsid w:val="00D71477"/>
    <w:rsid w:val="00D714F5"/>
    <w:rsid w:val="00D716B9"/>
    <w:rsid w:val="00D716F3"/>
    <w:rsid w:val="00D7197A"/>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5E6"/>
    <w:rsid w:val="00DA4B3B"/>
    <w:rsid w:val="00DA4BF0"/>
    <w:rsid w:val="00DA5488"/>
    <w:rsid w:val="00DA57D1"/>
    <w:rsid w:val="00DA5B72"/>
    <w:rsid w:val="00DA6051"/>
    <w:rsid w:val="00DA60FF"/>
    <w:rsid w:val="00DB02E2"/>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5A8"/>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5EC9"/>
    <w:rsid w:val="00DF706F"/>
    <w:rsid w:val="00DF7125"/>
    <w:rsid w:val="00E001DF"/>
    <w:rsid w:val="00E00F3A"/>
    <w:rsid w:val="00E013A4"/>
    <w:rsid w:val="00E015DC"/>
    <w:rsid w:val="00E017C8"/>
    <w:rsid w:val="00E02924"/>
    <w:rsid w:val="00E02D29"/>
    <w:rsid w:val="00E030D0"/>
    <w:rsid w:val="00E032B4"/>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246"/>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0F42"/>
    <w:rsid w:val="00EC13E3"/>
    <w:rsid w:val="00EC1487"/>
    <w:rsid w:val="00EC1EEB"/>
    <w:rsid w:val="00EC2466"/>
    <w:rsid w:val="00EC48EC"/>
    <w:rsid w:val="00EC4F4D"/>
    <w:rsid w:val="00EC54AF"/>
    <w:rsid w:val="00EC5AC6"/>
    <w:rsid w:val="00EC7250"/>
    <w:rsid w:val="00EC7630"/>
    <w:rsid w:val="00ED0649"/>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B57"/>
    <w:rsid w:val="00EE5265"/>
    <w:rsid w:val="00EE63CB"/>
    <w:rsid w:val="00EE6529"/>
    <w:rsid w:val="00EE6EAD"/>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1F8"/>
    <w:rsid w:val="00F167A3"/>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0FD5"/>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650E"/>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4D1"/>
    <w:rsid w:val="00F7597C"/>
    <w:rsid w:val="00F75AC0"/>
    <w:rsid w:val="00F76A56"/>
    <w:rsid w:val="00F770AA"/>
    <w:rsid w:val="00F80687"/>
    <w:rsid w:val="00F81268"/>
    <w:rsid w:val="00F814D3"/>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445"/>
    <w:rsid w:val="00FC6927"/>
    <w:rsid w:val="00FC6AE2"/>
    <w:rsid w:val="00FC701C"/>
    <w:rsid w:val="00FC72E6"/>
    <w:rsid w:val="00FC7938"/>
    <w:rsid w:val="00FC7B18"/>
    <w:rsid w:val="00FD0CF0"/>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CD6AF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758208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529944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1881113">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5</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361</cp:revision>
  <dcterms:created xsi:type="dcterms:W3CDTF">2017-04-13T02:23:00Z</dcterms:created>
  <dcterms:modified xsi:type="dcterms:W3CDTF">2023-05-12T03:47:00Z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